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58C08" w14:textId="77777777" w:rsidR="00911D02" w:rsidRDefault="00911D02" w:rsidP="00911D02">
      <w:r>
        <w:tab/>
      </w:r>
    </w:p>
    <w:p w14:paraId="04B9EB26" w14:textId="77777777" w:rsidR="00911D02" w:rsidRPr="00E6664D" w:rsidRDefault="00911D02" w:rsidP="00911D02">
      <w:pPr>
        <w:rPr>
          <w:rFonts w:ascii="Times New Roman" w:hAnsi="Times New Roman" w:cs="Times New Roman"/>
          <w:color w:val="595959" w:themeColor="text1" w:themeTint="A6"/>
          <w:sz w:val="52"/>
        </w:rPr>
      </w:pPr>
      <w:r>
        <w:rPr>
          <w:noProof/>
          <w:lang w:eastAsia="es-MX"/>
        </w:rPr>
        <mc:AlternateContent>
          <mc:Choice Requires="wps">
            <w:drawing>
              <wp:anchor distT="0" distB="0" distL="114300" distR="114300" simplePos="0" relativeHeight="251658240" behindDoc="0" locked="0" layoutInCell="1" allowOverlap="1" wp14:anchorId="380543E9" wp14:editId="4546B24B">
                <wp:simplePos x="0" y="0"/>
                <wp:positionH relativeFrom="column">
                  <wp:posOffset>985148</wp:posOffset>
                </wp:positionH>
                <wp:positionV relativeFrom="paragraph">
                  <wp:posOffset>428078</wp:posOffset>
                </wp:positionV>
                <wp:extent cx="3799489" cy="2822027"/>
                <wp:effectExtent l="0" t="0" r="10795" b="16510"/>
                <wp:wrapNone/>
                <wp:docPr id="5" name="Rectángulo 5"/>
                <wp:cNvGraphicFramePr/>
                <a:graphic xmlns:a="http://schemas.openxmlformats.org/drawingml/2006/main">
                  <a:graphicData uri="http://schemas.microsoft.com/office/word/2010/wordprocessingShape">
                    <wps:wsp>
                      <wps:cNvSpPr/>
                      <wps:spPr>
                        <a:xfrm>
                          <a:off x="0" y="0"/>
                          <a:ext cx="3799489" cy="282202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982584B" w14:textId="77777777" w:rsidR="00911D02" w:rsidRPr="0054002A" w:rsidRDefault="00911D02" w:rsidP="00911D02">
                            <w:pPr>
                              <w:jc w:val="center"/>
                              <w:rPr>
                                <w:b/>
                                <w:sz w:val="72"/>
                              </w:rPr>
                            </w:pPr>
                            <w:r w:rsidRPr="0054002A">
                              <w:rPr>
                                <w:b/>
                                <w:sz w:val="72"/>
                              </w:rPr>
                              <w:t>Sector Curtiembre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0543E9" id="Rectángulo 5" o:spid="_x0000_s1026" style="position:absolute;margin-left:77.55pt;margin-top:33.7pt;width:299.15pt;height:222.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6oiwIAAGAFAAAOAAAAZHJzL2Uyb0RvYy54bWysVEtu2zAQ3RfoHQjuG9mq87EROTASpCgQ&#10;pEGSImuaIm2iJIclaUvubXqWXqxDSlbc1KuiG4qjefPlm7m8ao0mW+GDAlvR8cmIEmE51MquKvr1&#10;+fbDBSUhMlszDVZUdCcCvZq/f3fZuJkoYQ26Fp6gExtmjavoOkY3K4rA18KwcAJOWFRK8IZFFP2q&#10;qD1r0LvRRTkanRUN+Np54CIE/HvTKek8+5dS8PhFyiAi0RXF3GI+fT6X6Szml2y28sytFe/TYP+Q&#10;hWHKYtDB1Q2LjGy8+suVUdxDABlPOJgCpFRc5BqwmvHoTTVPa+ZErgWbE9zQpvD/3PL77YMnqq7o&#10;KSWWGXyiR2zar592tdFATlODGhdmiHtyD76XAl5Tta30Jn2xDtLmpu6Gpoo2Eo4/P55Pp5OLKSUc&#10;deVFWY7K8+S1eDV3PsRPAgxJl4p6TCA3k23vQuyge0iKpm06A2hV3yqts5D4Iq61J1uGL71cjfsQ&#10;BygMmCyLVE5XQL7FnRad10chsROYcpmjZw6++mScCxvPer/aIjqZScxgMBwfM9Rxn0yPTWYic3Mw&#10;HB0z/DPiYJGjgo2DsVEW/DEH9bchcoffV9/VnMqP7bLtH3UJ9Q654KEbkuD4rcL3uGMhPjCPU4Hz&#10;g5Mev+AhNTQVhf5GyRr8j2P/Ex7JilpKGpyyiobvG+YFJfqzRRpPx5NJGsssTE7PSxT8oWZ5qLEb&#10;cw34vGPcKY7na8JHvb9KD+YFF8IiRUUVsxxjV5RHvxeuYzf9uFK4WCwyDEfRsXhnnxxPzlODE9+e&#10;2xfmXU/KiHy+h/1EstkbbnbYZGlhsYkgVSZuanHX1771OMaZ+v3KSXviUM6o18U4/w0AAP//AwBQ&#10;SwMEFAAGAAgAAAAhAIQiiADdAAAACgEAAA8AAABkcnMvZG93bnJldi54bWxMj8FOwzAMhu9IvENk&#10;JG4sTaHbVJpOFQiJawcXbl4T2orG6ZJsK2+POcHNv/zp9+dqt7hJnG2IoycNapWBsNR5M1Kv4f3t&#10;5W4LIiYkg5Mnq+HbRtjV11cVlsZfqLXnfeoFl1AsUcOQ0lxKGbvBOowrP1vi3acPDhPH0EsT8MLl&#10;bpJ5lq2lw5H4woCzfRps97U/OQ3PU6M+/JEafE3tsR9D3i4h1/r2ZmkeQSS7pD8YfvVZHWp2OvgT&#10;mSgmzkWhGNWw3jyAYGBT3PNw0FAotQVZV/L/C/UPAAAA//8DAFBLAQItABQABgAIAAAAIQC2gziS&#10;/gAAAOEBAAATAAAAAAAAAAAAAAAAAAAAAABbQ29udGVudF9UeXBlc10ueG1sUEsBAi0AFAAGAAgA&#10;AAAhADj9If/WAAAAlAEAAAsAAAAAAAAAAAAAAAAALwEAAF9yZWxzLy5yZWxzUEsBAi0AFAAGAAgA&#10;AAAhAKWd7qiLAgAAYAUAAA4AAAAAAAAAAAAAAAAALgIAAGRycy9lMm9Eb2MueG1sUEsBAi0AFAAG&#10;AAgAAAAhAIQiiADdAAAACgEAAA8AAAAAAAAAAAAAAAAA5QQAAGRycy9kb3ducmV2LnhtbFBLBQYA&#10;AAAABAAEAPMAAADvBQAAAAA=&#10;" fillcolor="white [3201]" strokecolor="white [3212]" strokeweight="1pt">
                <v:textbox>
                  <w:txbxContent>
                    <w:p w14:paraId="6982584B" w14:textId="77777777" w:rsidR="00911D02" w:rsidRPr="0054002A" w:rsidRDefault="00911D02" w:rsidP="00911D02">
                      <w:pPr>
                        <w:jc w:val="center"/>
                        <w:rPr>
                          <w:b/>
                          <w:sz w:val="72"/>
                        </w:rPr>
                      </w:pPr>
                      <w:r w:rsidRPr="0054002A">
                        <w:rPr>
                          <w:b/>
                          <w:sz w:val="72"/>
                        </w:rPr>
                        <w:t>Sector Curtiembre</w:t>
                      </w:r>
                    </w:p>
                  </w:txbxContent>
                </v:textbox>
              </v:rect>
            </w:pict>
          </mc:Fallback>
        </mc:AlternateContent>
      </w:r>
      <w:r>
        <w:tab/>
      </w:r>
    </w:p>
    <w:p w14:paraId="6B7EB4EB" w14:textId="77777777" w:rsidR="00911D02" w:rsidRDefault="00911D02" w:rsidP="00911D02">
      <w:pPr>
        <w:rPr>
          <w:color w:val="595959" w:themeColor="text1" w:themeTint="A6"/>
          <w:sz w:val="52"/>
        </w:rPr>
      </w:pPr>
    </w:p>
    <w:p w14:paraId="76EF8A56" w14:textId="77777777" w:rsidR="00911D02" w:rsidRDefault="00911D02" w:rsidP="00911D02">
      <w:pPr>
        <w:rPr>
          <w:color w:val="595959" w:themeColor="text1" w:themeTint="A6"/>
          <w:sz w:val="52"/>
        </w:rPr>
      </w:pPr>
    </w:p>
    <w:p w14:paraId="5E9B05E4" w14:textId="77777777" w:rsidR="00911D02" w:rsidRDefault="00911D02" w:rsidP="00911D02">
      <w:pPr>
        <w:rPr>
          <w:color w:val="595959" w:themeColor="text1" w:themeTint="A6"/>
          <w:sz w:val="52"/>
        </w:rPr>
      </w:pPr>
    </w:p>
    <w:p w14:paraId="7C3DF762" w14:textId="77777777" w:rsidR="00911D02" w:rsidRDefault="00911D02" w:rsidP="00911D02">
      <w:pPr>
        <w:rPr>
          <w:color w:val="595959" w:themeColor="text1" w:themeTint="A6"/>
          <w:sz w:val="52"/>
        </w:rPr>
      </w:pPr>
    </w:p>
    <w:p w14:paraId="70485898" w14:textId="77777777" w:rsidR="00911D02" w:rsidRDefault="00911D02" w:rsidP="00911D02">
      <w:pPr>
        <w:rPr>
          <w:color w:val="595959" w:themeColor="text1" w:themeTint="A6"/>
          <w:sz w:val="52"/>
        </w:rPr>
      </w:pPr>
    </w:p>
    <w:p w14:paraId="227BB1F0" w14:textId="77777777" w:rsidR="00911D02" w:rsidRPr="003339B3" w:rsidRDefault="00911D02" w:rsidP="00911D02">
      <w:pPr>
        <w:jc w:val="center"/>
        <w:rPr>
          <w:rFonts w:ascii="Arial" w:hAnsi="Arial" w:cs="Arial"/>
          <w:color w:val="595959" w:themeColor="text1" w:themeTint="A6"/>
          <w:sz w:val="52"/>
        </w:rPr>
      </w:pPr>
      <w:r w:rsidRPr="003339B3">
        <w:rPr>
          <w:rFonts w:ascii="Arial" w:hAnsi="Arial" w:cs="Arial"/>
          <w:color w:val="595959" w:themeColor="text1" w:themeTint="A6"/>
          <w:sz w:val="52"/>
        </w:rPr>
        <w:t xml:space="preserve">Serie </w:t>
      </w:r>
      <w:r>
        <w:rPr>
          <w:rFonts w:ascii="Arial" w:hAnsi="Arial" w:cs="Arial"/>
          <w:color w:val="595959" w:themeColor="text1" w:themeTint="A6"/>
          <w:sz w:val="52"/>
        </w:rPr>
        <w:t>“</w:t>
      </w:r>
      <w:r w:rsidRPr="003339B3">
        <w:rPr>
          <w:rFonts w:ascii="Arial" w:hAnsi="Arial" w:cs="Arial"/>
          <w:color w:val="595959" w:themeColor="text1" w:themeTint="A6"/>
          <w:sz w:val="52"/>
        </w:rPr>
        <w:t>Informes de actividad económica</w:t>
      </w:r>
      <w:r>
        <w:rPr>
          <w:rFonts w:ascii="Arial" w:hAnsi="Arial" w:cs="Arial"/>
          <w:color w:val="595959" w:themeColor="text1" w:themeTint="A6"/>
          <w:sz w:val="52"/>
        </w:rPr>
        <w:t>”</w:t>
      </w:r>
    </w:p>
    <w:p w14:paraId="7E65FB42" w14:textId="77777777" w:rsidR="00911D02" w:rsidRDefault="00911D02" w:rsidP="00911D02">
      <w:pPr>
        <w:jc w:val="center"/>
        <w:rPr>
          <w:rFonts w:ascii="Arial" w:hAnsi="Arial" w:cs="Arial"/>
          <w:color w:val="595959" w:themeColor="text1" w:themeTint="A6"/>
          <w:sz w:val="52"/>
        </w:rPr>
      </w:pPr>
      <w:r>
        <w:rPr>
          <w:rFonts w:ascii="Arial" w:hAnsi="Arial" w:cs="Arial"/>
          <w:color w:val="595959" w:themeColor="text1" w:themeTint="A6"/>
          <w:sz w:val="52"/>
        </w:rPr>
        <w:t xml:space="preserve"> </w:t>
      </w:r>
    </w:p>
    <w:p w14:paraId="29650039" w14:textId="7232020B" w:rsidR="00911D02" w:rsidRDefault="00A1307A" w:rsidP="00911D02">
      <w:pPr>
        <w:jc w:val="center"/>
        <w:rPr>
          <w:rFonts w:ascii="Arial" w:hAnsi="Arial" w:cs="Arial"/>
          <w:color w:val="595959" w:themeColor="text1" w:themeTint="A6"/>
          <w:sz w:val="52"/>
        </w:rPr>
      </w:pPr>
      <w:r>
        <w:rPr>
          <w:rFonts w:ascii="Arial" w:hAnsi="Arial" w:cs="Arial"/>
          <w:color w:val="595959" w:themeColor="text1" w:themeTint="A6"/>
          <w:sz w:val="52"/>
        </w:rPr>
        <w:t>Segundo</w:t>
      </w:r>
      <w:r w:rsidR="00911D02">
        <w:rPr>
          <w:rFonts w:ascii="Arial" w:hAnsi="Arial" w:cs="Arial"/>
          <w:color w:val="595959" w:themeColor="text1" w:themeTint="A6"/>
          <w:sz w:val="52"/>
        </w:rPr>
        <w:t xml:space="preserve"> Trimestre,</w:t>
      </w:r>
      <w:r w:rsidR="00911D02" w:rsidRPr="00E6664D">
        <w:rPr>
          <w:rFonts w:ascii="Arial" w:hAnsi="Arial" w:cs="Arial"/>
          <w:color w:val="595959" w:themeColor="text1" w:themeTint="A6"/>
          <w:sz w:val="52"/>
        </w:rPr>
        <w:t xml:space="preserve"> 20</w:t>
      </w:r>
      <w:r w:rsidR="00335665">
        <w:rPr>
          <w:rFonts w:ascii="Arial" w:hAnsi="Arial" w:cs="Arial"/>
          <w:color w:val="595959" w:themeColor="text1" w:themeTint="A6"/>
          <w:sz w:val="52"/>
        </w:rPr>
        <w:t>2</w:t>
      </w:r>
      <w:r w:rsidR="00B85E5C">
        <w:rPr>
          <w:rFonts w:ascii="Arial" w:hAnsi="Arial" w:cs="Arial"/>
          <w:color w:val="595959" w:themeColor="text1" w:themeTint="A6"/>
          <w:sz w:val="52"/>
        </w:rPr>
        <w:t>1</w:t>
      </w:r>
    </w:p>
    <w:p w14:paraId="22C65E41" w14:textId="77777777" w:rsidR="00911D02" w:rsidRDefault="00911D02" w:rsidP="00911D02">
      <w:pPr>
        <w:rPr>
          <w:rFonts w:ascii="Arial" w:hAnsi="Arial" w:cs="Arial"/>
          <w:color w:val="595959" w:themeColor="text1" w:themeTint="A6"/>
          <w:sz w:val="52"/>
        </w:rPr>
      </w:pPr>
    </w:p>
    <w:p w14:paraId="2F1AAB65" w14:textId="77777777" w:rsidR="00450AD9" w:rsidRDefault="00450AD9" w:rsidP="00911D02">
      <w:pPr>
        <w:rPr>
          <w:rFonts w:ascii="Arial" w:hAnsi="Arial" w:cs="Arial"/>
          <w:color w:val="595959" w:themeColor="text1" w:themeTint="A6"/>
          <w:sz w:val="52"/>
        </w:rPr>
      </w:pPr>
    </w:p>
    <w:p w14:paraId="2D2E1BFB" w14:textId="77777777" w:rsidR="00450AD9" w:rsidRDefault="00450AD9" w:rsidP="00911D02">
      <w:pPr>
        <w:rPr>
          <w:rFonts w:ascii="Arial" w:hAnsi="Arial" w:cs="Arial"/>
          <w:color w:val="595959" w:themeColor="text1" w:themeTint="A6"/>
          <w:sz w:val="52"/>
        </w:rPr>
      </w:pPr>
    </w:p>
    <w:p w14:paraId="5CF4414D" w14:textId="77777777" w:rsidR="00450AD9" w:rsidRDefault="00450AD9" w:rsidP="00911D02">
      <w:pPr>
        <w:rPr>
          <w:rFonts w:ascii="Arial" w:hAnsi="Arial" w:cs="Arial"/>
          <w:color w:val="595959" w:themeColor="text1" w:themeTint="A6"/>
          <w:sz w:val="52"/>
        </w:rPr>
      </w:pPr>
    </w:p>
    <w:p w14:paraId="217A0E00" w14:textId="77777777" w:rsidR="00450AD9" w:rsidRDefault="00450AD9" w:rsidP="00911D02">
      <w:pPr>
        <w:rPr>
          <w:rFonts w:ascii="Arial" w:hAnsi="Arial" w:cs="Arial"/>
          <w:color w:val="595959" w:themeColor="text1" w:themeTint="A6"/>
          <w:sz w:val="52"/>
        </w:rPr>
      </w:pPr>
    </w:p>
    <w:p w14:paraId="6277E679" w14:textId="77777777" w:rsidR="00450AD9" w:rsidRDefault="00450AD9" w:rsidP="00911D02">
      <w:pPr>
        <w:rPr>
          <w:rFonts w:ascii="Arial" w:hAnsi="Arial" w:cs="Arial"/>
          <w:color w:val="595959" w:themeColor="text1" w:themeTint="A6"/>
          <w:sz w:val="52"/>
        </w:rPr>
      </w:pPr>
    </w:p>
    <w:p w14:paraId="2CD18CF2" w14:textId="77777777" w:rsidR="00450AD9" w:rsidRDefault="00450AD9" w:rsidP="00911D02">
      <w:pPr>
        <w:rPr>
          <w:rFonts w:ascii="Arial" w:hAnsi="Arial" w:cs="Arial"/>
          <w:color w:val="595959" w:themeColor="text1" w:themeTint="A6"/>
          <w:sz w:val="52"/>
        </w:rPr>
        <w:sectPr w:rsidR="00450AD9" w:rsidSect="00450AD9">
          <w:headerReference w:type="default" r:id="rId8"/>
          <w:footerReference w:type="default" r:id="rId9"/>
          <w:type w:val="continuous"/>
          <w:pgSz w:w="11907" w:h="16839" w:code="9"/>
          <w:pgMar w:top="1417" w:right="1701" w:bottom="1417" w:left="1701" w:header="708" w:footer="708" w:gutter="0"/>
          <w:cols w:space="708"/>
          <w:docGrid w:linePitch="360"/>
        </w:sectPr>
      </w:pPr>
    </w:p>
    <w:p w14:paraId="7E18E359" w14:textId="77777777" w:rsidR="00911D02" w:rsidRDefault="00911D02" w:rsidP="00911D02">
      <w:pPr>
        <w:pStyle w:val="Ttulo1"/>
      </w:pPr>
      <w:r>
        <w:lastRenderedPageBreak/>
        <w:t>Resumen Ejecutivo</w:t>
      </w:r>
    </w:p>
    <w:p w14:paraId="1BD6B975" w14:textId="77777777" w:rsidR="00911D02" w:rsidRPr="00344FC9" w:rsidRDefault="00911D02" w:rsidP="00911D02">
      <w:pPr>
        <w:ind w:right="-780"/>
      </w:pPr>
    </w:p>
    <w:p w14:paraId="4C7BA223" w14:textId="5206A6F6" w:rsidR="00B37A3F" w:rsidRPr="00B37A3F" w:rsidRDefault="00B37A3F" w:rsidP="00B37A3F">
      <w:pPr>
        <w:numPr>
          <w:ilvl w:val="0"/>
          <w:numId w:val="9"/>
        </w:numPr>
        <w:rPr>
          <w:rFonts w:ascii="Arial" w:hAnsi="Arial" w:cs="Arial"/>
          <w:color w:val="595959" w:themeColor="text1" w:themeTint="A6"/>
          <w:sz w:val="24"/>
          <w:lang w:val="es-AR"/>
        </w:rPr>
      </w:pPr>
      <w:r w:rsidRPr="00B37A3F">
        <w:rPr>
          <w:rFonts w:ascii="Arial" w:hAnsi="Arial" w:cs="Arial"/>
          <w:color w:val="595959" w:themeColor="text1" w:themeTint="A6"/>
          <w:sz w:val="24"/>
          <w:lang w:val="es-AR"/>
        </w:rPr>
        <w:t xml:space="preserve">La faena </w:t>
      </w:r>
      <w:r w:rsidR="00311A08">
        <w:rPr>
          <w:rFonts w:ascii="Arial" w:hAnsi="Arial" w:cs="Arial"/>
          <w:color w:val="595959" w:themeColor="text1" w:themeTint="A6"/>
          <w:sz w:val="24"/>
          <w:lang w:val="es-AR"/>
        </w:rPr>
        <w:t>no revela variaciones significativas en relación al trimestre anterior.</w:t>
      </w:r>
    </w:p>
    <w:p w14:paraId="3E07E657" w14:textId="53475E1C" w:rsidR="00B37A3F" w:rsidRPr="00B37A3F" w:rsidRDefault="00B37A3F" w:rsidP="00B37A3F">
      <w:pPr>
        <w:numPr>
          <w:ilvl w:val="0"/>
          <w:numId w:val="9"/>
        </w:numPr>
        <w:rPr>
          <w:rFonts w:ascii="Arial" w:hAnsi="Arial" w:cs="Arial"/>
          <w:color w:val="595959" w:themeColor="text1" w:themeTint="A6"/>
          <w:sz w:val="24"/>
          <w:lang w:val="es-AR"/>
        </w:rPr>
      </w:pPr>
      <w:r w:rsidRPr="00B37A3F">
        <w:rPr>
          <w:rFonts w:ascii="Arial" w:hAnsi="Arial" w:cs="Arial"/>
          <w:color w:val="595959" w:themeColor="text1" w:themeTint="A6"/>
          <w:sz w:val="24"/>
          <w:lang w:val="es-AR"/>
        </w:rPr>
        <w:t xml:space="preserve">Los precios </w:t>
      </w:r>
      <w:r w:rsidR="00311A08">
        <w:rPr>
          <w:rFonts w:ascii="Arial" w:hAnsi="Arial" w:cs="Arial"/>
          <w:color w:val="595959" w:themeColor="text1" w:themeTint="A6"/>
          <w:sz w:val="24"/>
          <w:lang w:val="es-AR"/>
        </w:rPr>
        <w:t>se mantienen estables, medidos en dólares.</w:t>
      </w:r>
    </w:p>
    <w:p w14:paraId="501C7856" w14:textId="4C52B361" w:rsidR="00B37A3F" w:rsidRPr="00B37A3F" w:rsidRDefault="00B37A3F" w:rsidP="00B37A3F">
      <w:pPr>
        <w:numPr>
          <w:ilvl w:val="0"/>
          <w:numId w:val="9"/>
        </w:numPr>
        <w:rPr>
          <w:rFonts w:ascii="Arial" w:hAnsi="Arial" w:cs="Arial"/>
          <w:color w:val="595959" w:themeColor="text1" w:themeTint="A6"/>
          <w:sz w:val="24"/>
          <w:lang w:val="es-AR"/>
        </w:rPr>
      </w:pPr>
      <w:r w:rsidRPr="00B37A3F">
        <w:rPr>
          <w:rFonts w:ascii="Arial" w:hAnsi="Arial" w:cs="Arial"/>
          <w:color w:val="595959" w:themeColor="text1" w:themeTint="A6"/>
          <w:sz w:val="24"/>
          <w:lang w:val="es-AR"/>
        </w:rPr>
        <w:t xml:space="preserve">El </w:t>
      </w:r>
      <w:r w:rsidR="00311A08">
        <w:rPr>
          <w:rFonts w:ascii="Arial" w:hAnsi="Arial" w:cs="Arial"/>
          <w:color w:val="595959" w:themeColor="text1" w:themeTint="A6"/>
          <w:sz w:val="24"/>
          <w:lang w:val="es-AR"/>
        </w:rPr>
        <w:t>valor por tonelada exportada aumenta para todos los códigos.</w:t>
      </w:r>
    </w:p>
    <w:p w14:paraId="6F41682F" w14:textId="090E66F2" w:rsidR="00B37A3F" w:rsidRPr="00B37A3F" w:rsidRDefault="00B37A3F" w:rsidP="00B37A3F">
      <w:pPr>
        <w:numPr>
          <w:ilvl w:val="0"/>
          <w:numId w:val="9"/>
        </w:numPr>
        <w:rPr>
          <w:rFonts w:ascii="Arial" w:hAnsi="Arial" w:cs="Arial"/>
          <w:color w:val="595959" w:themeColor="text1" w:themeTint="A6"/>
          <w:sz w:val="24"/>
          <w:lang w:val="es-AR"/>
        </w:rPr>
      </w:pPr>
      <w:r w:rsidRPr="00B37A3F">
        <w:rPr>
          <w:rFonts w:ascii="Arial" w:hAnsi="Arial" w:cs="Arial"/>
          <w:color w:val="595959" w:themeColor="text1" w:themeTint="A6"/>
          <w:sz w:val="24"/>
          <w:lang w:val="es-AR"/>
        </w:rPr>
        <w:t xml:space="preserve">Mercado interno </w:t>
      </w:r>
      <w:r w:rsidR="00311A08">
        <w:rPr>
          <w:rFonts w:ascii="Arial" w:hAnsi="Arial" w:cs="Arial"/>
          <w:color w:val="595959" w:themeColor="text1" w:themeTint="A6"/>
          <w:sz w:val="24"/>
          <w:lang w:val="es-AR"/>
        </w:rPr>
        <w:t>desacelera su recuperación a medida que avanza el trimestre</w:t>
      </w:r>
    </w:p>
    <w:p w14:paraId="3B46D753" w14:textId="5B13DFFC" w:rsidR="00B37A3F" w:rsidRPr="00B37A3F" w:rsidRDefault="00311A08" w:rsidP="00B37A3F">
      <w:pPr>
        <w:numPr>
          <w:ilvl w:val="0"/>
          <w:numId w:val="9"/>
        </w:numPr>
        <w:rPr>
          <w:rFonts w:ascii="Arial" w:hAnsi="Arial" w:cs="Arial"/>
          <w:color w:val="595959" w:themeColor="text1" w:themeTint="A6"/>
          <w:sz w:val="24"/>
          <w:lang w:val="es-AR"/>
        </w:rPr>
      </w:pPr>
      <w:r>
        <w:rPr>
          <w:rFonts w:ascii="Arial" w:hAnsi="Arial" w:cs="Arial"/>
          <w:color w:val="595959" w:themeColor="text1" w:themeTint="A6"/>
          <w:sz w:val="24"/>
          <w:lang w:val="es-AR"/>
        </w:rPr>
        <w:t>La dinámica de empleo sigue negativa para todos los sectores, salvo curtiembres</w:t>
      </w:r>
    </w:p>
    <w:p w14:paraId="4DA69286" w14:textId="77777777" w:rsidR="00911D02" w:rsidRDefault="00911D02" w:rsidP="00911D02">
      <w:pPr>
        <w:sectPr w:rsidR="00911D02" w:rsidSect="00450AD9">
          <w:headerReference w:type="default" r:id="rId10"/>
          <w:type w:val="continuous"/>
          <w:pgSz w:w="11907" w:h="16839" w:code="9"/>
          <w:pgMar w:top="1418" w:right="1701" w:bottom="1418" w:left="1701" w:header="709" w:footer="709" w:gutter="0"/>
          <w:cols w:space="283"/>
          <w:titlePg/>
          <w:docGrid w:linePitch="360"/>
        </w:sectPr>
      </w:pPr>
      <w:r>
        <w:br w:type="page"/>
      </w:r>
    </w:p>
    <w:p w14:paraId="0A4FF094" w14:textId="77777777" w:rsidR="00911D02" w:rsidRPr="00F55F7A" w:rsidRDefault="00911D02" w:rsidP="00911D02">
      <w:pPr>
        <w:pStyle w:val="Ttulo1"/>
      </w:pPr>
      <w:r>
        <w:lastRenderedPageBreak/>
        <w:t>1. La oferta</w:t>
      </w:r>
    </w:p>
    <w:p w14:paraId="37CD25B3" w14:textId="33C59BC5" w:rsidR="00911D02" w:rsidRDefault="008736A0" w:rsidP="00911D02">
      <w:pPr>
        <w:pStyle w:val="Ttulo2"/>
      </w:pPr>
      <w:r>
        <w:t>1.1 Oferta</w:t>
      </w:r>
      <w:r w:rsidR="00911D02">
        <w:t xml:space="preserve"> del sector de curtiembre. FAENA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8736A0" w14:paraId="4552CD24" w14:textId="77777777" w:rsidTr="008F6574">
        <w:tc>
          <w:tcPr>
            <w:tcW w:w="8495" w:type="dxa"/>
          </w:tcPr>
          <w:p w14:paraId="3D9CD98D" w14:textId="7F1E4A58" w:rsidR="008736A0" w:rsidRDefault="008736A0" w:rsidP="00911D02">
            <w:r w:rsidRPr="008736A0">
              <w:rPr>
                <w:b/>
                <w:bCs/>
              </w:rPr>
              <w:t>Gráfico 1.</w:t>
            </w:r>
            <w:r>
              <w:t xml:space="preserve"> Miles de cabezas de bovino faenadas. 2014.T1 a 202</w:t>
            </w:r>
            <w:r w:rsidR="0021771F">
              <w:t>1.T2</w:t>
            </w:r>
          </w:p>
        </w:tc>
      </w:tr>
      <w:tr w:rsidR="008736A0" w14:paraId="26AB97B4" w14:textId="77777777" w:rsidTr="008F6574">
        <w:tc>
          <w:tcPr>
            <w:tcW w:w="8495" w:type="dxa"/>
          </w:tcPr>
          <w:p w14:paraId="1494AC88" w14:textId="728630CE" w:rsidR="008736A0" w:rsidRDefault="0021771F" w:rsidP="00911D02">
            <w:r>
              <w:rPr>
                <w:noProof/>
                <w:lang w:eastAsia="es-MX"/>
              </w:rPr>
              <w:drawing>
                <wp:inline distT="0" distB="0" distL="0" distR="0" wp14:anchorId="3593E350" wp14:editId="73F0B09C">
                  <wp:extent cx="5274310" cy="2006273"/>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2552" cy="2013212"/>
                          </a:xfrm>
                          <a:prstGeom prst="rect">
                            <a:avLst/>
                          </a:prstGeom>
                          <a:noFill/>
                        </pic:spPr>
                      </pic:pic>
                    </a:graphicData>
                  </a:graphic>
                </wp:inline>
              </w:drawing>
            </w:r>
          </w:p>
        </w:tc>
      </w:tr>
      <w:tr w:rsidR="008736A0" w14:paraId="1225CC5F" w14:textId="77777777" w:rsidTr="008F6574">
        <w:tc>
          <w:tcPr>
            <w:tcW w:w="8495" w:type="dxa"/>
          </w:tcPr>
          <w:p w14:paraId="1FE79402" w14:textId="486EED6D" w:rsidR="008736A0" w:rsidRDefault="008736A0" w:rsidP="00911D02">
            <w:r w:rsidRPr="008736A0">
              <w:rPr>
                <w:b/>
                <w:bCs/>
              </w:rPr>
              <w:t>Fuente:</w:t>
            </w:r>
            <w:r>
              <w:t xml:space="preserve"> Elaboración propia en base a datos de Ministerio de Agricultura, ganadería y pesca</w:t>
            </w:r>
          </w:p>
        </w:tc>
      </w:tr>
    </w:tbl>
    <w:p w14:paraId="37EAC8B5" w14:textId="37875EA3" w:rsidR="00911D02" w:rsidRDefault="00911D02" w:rsidP="00911D02"/>
    <w:p w14:paraId="2A8371EA" w14:textId="017B36EA" w:rsidR="00CF6CCA" w:rsidRPr="00CF6CCA" w:rsidRDefault="0021771F" w:rsidP="0021771F">
      <w:pPr>
        <w:jc w:val="both"/>
        <w:rPr>
          <w:lang w:val="es-AR"/>
        </w:rPr>
      </w:pPr>
      <w:r>
        <w:rPr>
          <w:sz w:val="24"/>
        </w:rPr>
        <w:t>La faena prácticamente no sufre alteraciones con respecto al primer trimestre del año. Vale aclarar que durante 2021.T2 se implementó la prohibición de exportaciones de carne. El gráfico muestra que esto tuvo un efecto despreciable sobre la faena vacuna, la cual se encuentra un 10% por debajo de los valores de 2020.</w:t>
      </w:r>
    </w:p>
    <w:p w14:paraId="4A0FCCDC" w14:textId="77777777" w:rsidR="00911D02" w:rsidRPr="00A214F7" w:rsidRDefault="00911D02" w:rsidP="00911D02">
      <w:pPr>
        <w:pStyle w:val="Ttulo2"/>
      </w:pPr>
      <w:r>
        <w:t>1.2 Evolución de los precios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8736A0" w14:paraId="25936C98" w14:textId="77777777" w:rsidTr="008F6574">
        <w:tc>
          <w:tcPr>
            <w:tcW w:w="8495" w:type="dxa"/>
          </w:tcPr>
          <w:p w14:paraId="3EA6F1B4" w14:textId="7DA36D65" w:rsidR="008736A0" w:rsidRDefault="008736A0" w:rsidP="00C45B14">
            <w:r w:rsidRPr="008736A0">
              <w:rPr>
                <w:b/>
                <w:bCs/>
              </w:rPr>
              <w:t xml:space="preserve">Gráfico </w:t>
            </w:r>
            <w:r w:rsidR="001328B4">
              <w:rPr>
                <w:b/>
                <w:bCs/>
              </w:rPr>
              <w:t>2</w:t>
            </w:r>
            <w:r w:rsidRPr="008736A0">
              <w:rPr>
                <w:b/>
                <w:bCs/>
              </w:rPr>
              <w:t>.</w:t>
            </w:r>
            <w:r>
              <w:t xml:space="preserve"> </w:t>
            </w:r>
            <w:r w:rsidR="001328B4">
              <w:t>Evolución del precio del cuero por tipo</w:t>
            </w:r>
            <w:r>
              <w:t>. 201</w:t>
            </w:r>
            <w:r w:rsidR="001328B4">
              <w:t>7</w:t>
            </w:r>
            <w:r>
              <w:t>.T1 a 202</w:t>
            </w:r>
            <w:r w:rsidR="00B37A3F">
              <w:t>1</w:t>
            </w:r>
            <w:r>
              <w:t>.T</w:t>
            </w:r>
            <w:r w:rsidR="00C45B14">
              <w:t>2</w:t>
            </w:r>
            <w:bookmarkStart w:id="0" w:name="_GoBack"/>
            <w:bookmarkEnd w:id="0"/>
            <w:r w:rsidR="00293E43">
              <w:rPr>
                <w:rStyle w:val="Refdenotaalpie"/>
              </w:rPr>
              <w:footnoteReference w:id="1"/>
            </w:r>
          </w:p>
        </w:tc>
      </w:tr>
      <w:tr w:rsidR="008736A0" w14:paraId="2AFDEA29" w14:textId="77777777" w:rsidTr="008F6574">
        <w:tc>
          <w:tcPr>
            <w:tcW w:w="8495" w:type="dxa"/>
          </w:tcPr>
          <w:p w14:paraId="23B9D3C5" w14:textId="47173D11" w:rsidR="008736A0" w:rsidRDefault="00C45B14" w:rsidP="00911D02">
            <w:r>
              <w:rPr>
                <w:noProof/>
                <w:lang w:eastAsia="es-MX"/>
              </w:rPr>
              <w:drawing>
                <wp:inline distT="0" distB="0" distL="0" distR="0" wp14:anchorId="57B093F7" wp14:editId="7478530E">
                  <wp:extent cx="5487035" cy="2170430"/>
                  <wp:effectExtent l="0" t="0" r="0" b="127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7035" cy="2170430"/>
                          </a:xfrm>
                          <a:prstGeom prst="rect">
                            <a:avLst/>
                          </a:prstGeom>
                          <a:noFill/>
                        </pic:spPr>
                      </pic:pic>
                    </a:graphicData>
                  </a:graphic>
                </wp:inline>
              </w:drawing>
            </w:r>
          </w:p>
        </w:tc>
      </w:tr>
      <w:tr w:rsidR="008736A0" w14:paraId="0BE86BC1" w14:textId="77777777" w:rsidTr="008F6574">
        <w:tc>
          <w:tcPr>
            <w:tcW w:w="8495" w:type="dxa"/>
          </w:tcPr>
          <w:p w14:paraId="6A0CE635" w14:textId="59C1DBA0" w:rsidR="008736A0" w:rsidRDefault="008736A0" w:rsidP="00911D02">
            <w:r w:rsidRPr="008736A0">
              <w:rPr>
                <w:b/>
                <w:bCs/>
              </w:rPr>
              <w:t>Fuente:</w:t>
            </w:r>
            <w:r>
              <w:t xml:space="preserve"> Elaboración propia en base a datos de Ministerio de Agricultura, ganadería y pesca</w:t>
            </w:r>
          </w:p>
        </w:tc>
      </w:tr>
    </w:tbl>
    <w:p w14:paraId="142E7014" w14:textId="77777777" w:rsidR="008736A0" w:rsidRDefault="008736A0" w:rsidP="00911D02"/>
    <w:p w14:paraId="0681BE50" w14:textId="616E2503" w:rsidR="006C78E5" w:rsidRDefault="00B37A3F" w:rsidP="00B37A3F">
      <w:pPr>
        <w:jc w:val="both"/>
        <w:rPr>
          <w:sz w:val="24"/>
        </w:rPr>
      </w:pPr>
      <w:r w:rsidRPr="00B37A3F">
        <w:rPr>
          <w:sz w:val="24"/>
        </w:rPr>
        <w:t xml:space="preserve">Todas las calidades de cuero </w:t>
      </w:r>
      <w:r w:rsidR="00C45B14">
        <w:rPr>
          <w:sz w:val="24"/>
        </w:rPr>
        <w:t xml:space="preserve">mantienen el mismo valor que habían mostrado en el primer trimestre del año. Entre 12 y 13 centavos de dólar por kilo para las versiones </w:t>
      </w:r>
      <w:r w:rsidR="00C45B14" w:rsidRPr="00C45B14">
        <w:rPr>
          <w:i/>
          <w:sz w:val="24"/>
        </w:rPr>
        <w:t>conserva y consumo</w:t>
      </w:r>
      <w:r w:rsidR="00C45B14">
        <w:rPr>
          <w:sz w:val="24"/>
        </w:rPr>
        <w:t xml:space="preserve">, y 28 y 30 centavos por kilos para las versiones </w:t>
      </w:r>
      <w:r w:rsidR="00C45B14" w:rsidRPr="00C45B14">
        <w:rPr>
          <w:i/>
          <w:sz w:val="24"/>
        </w:rPr>
        <w:t>liviano y novillo</w:t>
      </w:r>
      <w:r w:rsidR="00C45B14">
        <w:rPr>
          <w:sz w:val="24"/>
        </w:rPr>
        <w:t xml:space="preserve"> respectivamente. </w:t>
      </w:r>
    </w:p>
    <w:p w14:paraId="71DF2C97" w14:textId="77777777" w:rsidR="00C45B14" w:rsidRDefault="00C45B14" w:rsidP="00B37A3F">
      <w:pPr>
        <w:jc w:val="both"/>
        <w:rPr>
          <w:sz w:val="24"/>
        </w:rPr>
      </w:pPr>
    </w:p>
    <w:p w14:paraId="19BE8469" w14:textId="77777777" w:rsidR="00C45B14" w:rsidRDefault="00C45B14" w:rsidP="00B37A3F">
      <w:pPr>
        <w:jc w:val="both"/>
        <w:rPr>
          <w:sz w:val="24"/>
        </w:rPr>
      </w:pPr>
    </w:p>
    <w:p w14:paraId="30B602ED" w14:textId="77777777" w:rsidR="00911D02" w:rsidRDefault="00911D02" w:rsidP="00911D02">
      <w:pPr>
        <w:pStyle w:val="Ttulo2"/>
      </w:pPr>
      <w:r>
        <w:t>1.3 Análisis de las variaciones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1328B4" w14:paraId="0A806D51" w14:textId="77777777" w:rsidTr="008F6574">
        <w:tc>
          <w:tcPr>
            <w:tcW w:w="8495" w:type="dxa"/>
          </w:tcPr>
          <w:p w14:paraId="6C837730" w14:textId="0653BD3B" w:rsidR="001328B4" w:rsidRDefault="001328B4" w:rsidP="00C45B14">
            <w:r w:rsidRPr="008736A0">
              <w:rPr>
                <w:b/>
                <w:bCs/>
              </w:rPr>
              <w:t xml:space="preserve">Gráfico </w:t>
            </w:r>
            <w:r>
              <w:rPr>
                <w:b/>
                <w:bCs/>
              </w:rPr>
              <w:t>3</w:t>
            </w:r>
            <w:r w:rsidRPr="008736A0">
              <w:rPr>
                <w:b/>
                <w:bCs/>
              </w:rPr>
              <w:t>.</w:t>
            </w:r>
            <w:r>
              <w:t xml:space="preserve"> Variación interanual del precio del cuero por tipo. 2017.T1 a 2020.T</w:t>
            </w:r>
            <w:r w:rsidR="00C45B14">
              <w:t>2</w:t>
            </w:r>
          </w:p>
        </w:tc>
      </w:tr>
      <w:tr w:rsidR="001328B4" w14:paraId="07B4A6A9" w14:textId="77777777" w:rsidTr="008F6574">
        <w:tc>
          <w:tcPr>
            <w:tcW w:w="8495" w:type="dxa"/>
          </w:tcPr>
          <w:p w14:paraId="7BEE8015" w14:textId="7F037805" w:rsidR="001328B4" w:rsidRDefault="00C45B14" w:rsidP="001328B4">
            <w:r>
              <w:rPr>
                <w:noProof/>
                <w:lang w:eastAsia="es-MX"/>
              </w:rPr>
              <w:drawing>
                <wp:inline distT="0" distB="0" distL="0" distR="0" wp14:anchorId="7EF921B4" wp14:editId="4BC27B5D">
                  <wp:extent cx="4578350" cy="293878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8350" cy="2938780"/>
                          </a:xfrm>
                          <a:prstGeom prst="rect">
                            <a:avLst/>
                          </a:prstGeom>
                          <a:noFill/>
                        </pic:spPr>
                      </pic:pic>
                    </a:graphicData>
                  </a:graphic>
                </wp:inline>
              </w:drawing>
            </w:r>
          </w:p>
        </w:tc>
      </w:tr>
      <w:tr w:rsidR="001328B4" w14:paraId="61104EA6" w14:textId="77777777" w:rsidTr="008F6574">
        <w:tc>
          <w:tcPr>
            <w:tcW w:w="8495" w:type="dxa"/>
          </w:tcPr>
          <w:p w14:paraId="386A4CC7" w14:textId="22555581" w:rsidR="001328B4" w:rsidRDefault="001328B4" w:rsidP="001328B4">
            <w:r w:rsidRPr="008736A0">
              <w:rPr>
                <w:b/>
                <w:bCs/>
              </w:rPr>
              <w:t>Fuente:</w:t>
            </w:r>
            <w:r>
              <w:t xml:space="preserve"> Elaboración propia en base a datos de Ministerio de Agricultura, ganadería y pesca</w:t>
            </w:r>
          </w:p>
        </w:tc>
      </w:tr>
    </w:tbl>
    <w:p w14:paraId="3A1C395B" w14:textId="77777777" w:rsidR="001328B4" w:rsidRDefault="001328B4" w:rsidP="00911D02"/>
    <w:p w14:paraId="3CEA64D2" w14:textId="0870C5F8" w:rsidR="00C45B14" w:rsidRDefault="00C45B14" w:rsidP="00C45B14">
      <w:pPr>
        <w:jc w:val="both"/>
        <w:rPr>
          <w:sz w:val="24"/>
        </w:rPr>
      </w:pPr>
      <w:r>
        <w:rPr>
          <w:sz w:val="24"/>
        </w:rPr>
        <w:t>Como en el segundo y tercer trimestre de 2020, la serie de precios fue discontinuada (probablemente por las dificultades que generó el Covid), no es posible calcular variaciones interanuales, ya que no hay precios para ninguna variante de cuero contra la cual comparar.</w:t>
      </w:r>
    </w:p>
    <w:p w14:paraId="2950F75A" w14:textId="656FB277" w:rsidR="00EA4E9D" w:rsidRDefault="00EA4E9D" w:rsidP="00C45B14">
      <w:pPr>
        <w:jc w:val="both"/>
        <w:rPr>
          <w:sz w:val="24"/>
        </w:rPr>
      </w:pPr>
      <w:r w:rsidRPr="00D10F59">
        <w:rPr>
          <w:sz w:val="24"/>
        </w:rPr>
        <w:t>Si se comparara con el dato interanual anterior, 2019.T2, se puede ver que los precios de los tipos de cuero finos (Liviano y Novillo) están un 2% y 13% por encima de su valor de 2019, mientras que los precios de los cueros más baratos (Vaca conserva y consumo), están un 60% por encima de sus valores de 2019, haciendo que la relación entre los precios de estos dos grupos se reduzca de 1/3 a 1/2.</w:t>
      </w:r>
    </w:p>
    <w:p w14:paraId="3E9845ED" w14:textId="77777777" w:rsidR="00911D02" w:rsidRDefault="00911D02" w:rsidP="00911D02">
      <w:pPr>
        <w:jc w:val="both"/>
        <w:rPr>
          <w:sz w:val="24"/>
        </w:rPr>
      </w:pPr>
    </w:p>
    <w:p w14:paraId="4F3C99DE" w14:textId="77777777" w:rsidR="00EA4E9D" w:rsidRDefault="00EA4E9D" w:rsidP="00911D02">
      <w:pPr>
        <w:jc w:val="both"/>
        <w:rPr>
          <w:sz w:val="24"/>
        </w:rPr>
      </w:pPr>
    </w:p>
    <w:p w14:paraId="62E7BAC1" w14:textId="77777777" w:rsidR="00EA4E9D" w:rsidRDefault="00EA4E9D" w:rsidP="00911D02">
      <w:pPr>
        <w:jc w:val="both"/>
        <w:rPr>
          <w:sz w:val="24"/>
        </w:rPr>
      </w:pPr>
    </w:p>
    <w:p w14:paraId="6EF47300" w14:textId="77777777" w:rsidR="00EA4E9D" w:rsidRDefault="00EA4E9D" w:rsidP="00911D02">
      <w:pPr>
        <w:jc w:val="both"/>
        <w:rPr>
          <w:sz w:val="24"/>
        </w:rPr>
      </w:pPr>
    </w:p>
    <w:p w14:paraId="32ECAEA1" w14:textId="77777777" w:rsidR="00EA4E9D" w:rsidRDefault="00EA4E9D" w:rsidP="00911D02">
      <w:pPr>
        <w:jc w:val="both"/>
        <w:rPr>
          <w:sz w:val="24"/>
        </w:rPr>
      </w:pPr>
    </w:p>
    <w:p w14:paraId="3CF4120F" w14:textId="77777777" w:rsidR="00EA4E9D" w:rsidRDefault="00EA4E9D" w:rsidP="00911D02">
      <w:pPr>
        <w:jc w:val="both"/>
        <w:rPr>
          <w:sz w:val="24"/>
        </w:rPr>
      </w:pPr>
    </w:p>
    <w:p w14:paraId="7A658C6F" w14:textId="77777777" w:rsidR="00EA4E9D" w:rsidRDefault="00EA4E9D" w:rsidP="00911D02">
      <w:pPr>
        <w:jc w:val="both"/>
        <w:rPr>
          <w:sz w:val="24"/>
        </w:rPr>
      </w:pPr>
    </w:p>
    <w:p w14:paraId="24C96700" w14:textId="77777777" w:rsidR="00EA4E9D" w:rsidRPr="00C45B14" w:rsidRDefault="00EA4E9D" w:rsidP="00911D02">
      <w:pPr>
        <w:jc w:val="both"/>
        <w:rPr>
          <w:sz w:val="24"/>
        </w:rPr>
      </w:pPr>
    </w:p>
    <w:p w14:paraId="72BF596E" w14:textId="77777777" w:rsidR="00911D02" w:rsidRDefault="00911D02" w:rsidP="00911D02">
      <w:pPr>
        <w:pStyle w:val="Ttulo1"/>
      </w:pPr>
      <w:r>
        <w:lastRenderedPageBreak/>
        <w:t>2. Demanda del sector de curtiembre</w:t>
      </w:r>
    </w:p>
    <w:p w14:paraId="31D6C3FA" w14:textId="77777777" w:rsidR="00911D02" w:rsidRDefault="00911D02" w:rsidP="00911D02">
      <w:pPr>
        <w:pStyle w:val="Ttulo2"/>
      </w:pPr>
      <w:r>
        <w:t>2.1 Exportaciones por tipo de producto</w:t>
      </w:r>
    </w:p>
    <w:tbl>
      <w:tblPr>
        <w:tblStyle w:val="Tablaconcuadrcula"/>
        <w:tblW w:w="51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307A2D" w14:paraId="56A08043" w14:textId="77777777" w:rsidTr="00AC738D">
        <w:tc>
          <w:tcPr>
            <w:tcW w:w="5000" w:type="pct"/>
          </w:tcPr>
          <w:p w14:paraId="2A6743CB" w14:textId="08DF9F33" w:rsidR="00307A2D" w:rsidRDefault="00307A2D" w:rsidP="00911D02">
            <w:r w:rsidRPr="00307A2D">
              <w:rPr>
                <w:b/>
                <w:bCs/>
              </w:rPr>
              <w:t>Tabla 1.</w:t>
            </w:r>
            <w:r>
              <w:t xml:space="preserve"> Exportaciones de cuero por posición en Toneladas, valor FOB y FOB/Tons</w:t>
            </w:r>
          </w:p>
        </w:tc>
      </w:tr>
      <w:tr w:rsidR="00307A2D" w14:paraId="5B7BE1FA" w14:textId="77777777" w:rsidTr="00AC738D">
        <w:tc>
          <w:tcPr>
            <w:tcW w:w="5000" w:type="pct"/>
          </w:tcPr>
          <w:p w14:paraId="6665690C" w14:textId="103DCC88" w:rsidR="00307A2D" w:rsidRDefault="00AC738D" w:rsidP="00911D02">
            <w:r w:rsidRPr="00AC738D">
              <w:rPr>
                <w:noProof/>
                <w:lang w:eastAsia="es-MX"/>
              </w:rPr>
              <w:drawing>
                <wp:inline distT="0" distB="0" distL="0" distR="0" wp14:anchorId="3978F799" wp14:editId="70588D9E">
                  <wp:extent cx="5400675" cy="2047875"/>
                  <wp:effectExtent l="0" t="0" r="952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2047875"/>
                          </a:xfrm>
                          <a:prstGeom prst="rect">
                            <a:avLst/>
                          </a:prstGeom>
                          <a:noFill/>
                          <a:ln>
                            <a:noFill/>
                          </a:ln>
                        </pic:spPr>
                      </pic:pic>
                    </a:graphicData>
                  </a:graphic>
                </wp:inline>
              </w:drawing>
            </w:r>
          </w:p>
        </w:tc>
      </w:tr>
      <w:tr w:rsidR="00307A2D" w14:paraId="1CB67DAE" w14:textId="77777777" w:rsidTr="00AC738D">
        <w:tc>
          <w:tcPr>
            <w:tcW w:w="5000" w:type="pct"/>
          </w:tcPr>
          <w:p w14:paraId="3A990DE3" w14:textId="09652D50" w:rsidR="00307A2D" w:rsidRDefault="00307A2D" w:rsidP="00911D02">
            <w:r w:rsidRPr="0046327A">
              <w:rPr>
                <w:b/>
                <w:bCs/>
              </w:rPr>
              <w:t>Fuente:</w:t>
            </w:r>
            <w:r>
              <w:t xml:space="preserve"> Elaboración propia en base a datos de INDEC</w:t>
            </w:r>
          </w:p>
        </w:tc>
      </w:tr>
    </w:tbl>
    <w:p w14:paraId="45FB20CD" w14:textId="7D1D476B" w:rsidR="00307A2D" w:rsidRDefault="00307A2D" w:rsidP="00911D02"/>
    <w:tbl>
      <w:tblPr>
        <w:tblStyle w:val="Tablaconcuadrcula"/>
        <w:tblW w:w="921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CF6CCA" w14:paraId="6E203702" w14:textId="7C810603" w:rsidTr="00CF6CCA">
        <w:tc>
          <w:tcPr>
            <w:tcW w:w="9214" w:type="dxa"/>
          </w:tcPr>
          <w:p w14:paraId="5A0585F4" w14:textId="03F11DB5" w:rsidR="00CF6CCA" w:rsidRDefault="00CF6CCA" w:rsidP="0046327A">
            <w:r w:rsidRPr="0046327A">
              <w:rPr>
                <w:b/>
                <w:bCs/>
              </w:rPr>
              <w:t>Gráfico 4.1</w:t>
            </w:r>
            <w:r>
              <w:t xml:space="preserve"> Exportaciones de cuero para la posición 41.01 (cuero en bruto). 2017.T1 a 202</w:t>
            </w:r>
            <w:r w:rsidR="00AC738D">
              <w:t>1.T2</w:t>
            </w:r>
          </w:p>
        </w:tc>
      </w:tr>
      <w:tr w:rsidR="00CF6CCA" w14:paraId="52E347E0" w14:textId="683089CA" w:rsidTr="006C78E5">
        <w:tblPrEx>
          <w:tblCellMar>
            <w:left w:w="70" w:type="dxa"/>
            <w:right w:w="70" w:type="dxa"/>
          </w:tblCellMar>
        </w:tblPrEx>
        <w:tc>
          <w:tcPr>
            <w:tcW w:w="9214" w:type="dxa"/>
          </w:tcPr>
          <w:p w14:paraId="64EB3DD0" w14:textId="33D04B76" w:rsidR="00CF6CCA" w:rsidRDefault="00AC738D" w:rsidP="006C13C5">
            <w:r>
              <w:rPr>
                <w:noProof/>
                <w:lang w:eastAsia="es-MX"/>
              </w:rPr>
              <w:drawing>
                <wp:inline distT="0" distB="0" distL="0" distR="0" wp14:anchorId="463AAF09" wp14:editId="3C7A1DA6">
                  <wp:extent cx="6090285" cy="2292350"/>
                  <wp:effectExtent l="0" t="0" r="571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0285" cy="2292350"/>
                          </a:xfrm>
                          <a:prstGeom prst="rect">
                            <a:avLst/>
                          </a:prstGeom>
                          <a:noFill/>
                        </pic:spPr>
                      </pic:pic>
                    </a:graphicData>
                  </a:graphic>
                </wp:inline>
              </w:drawing>
            </w:r>
          </w:p>
        </w:tc>
      </w:tr>
      <w:tr w:rsidR="00CF6CCA" w14:paraId="3F77A583" w14:textId="3F3A7B19" w:rsidTr="00CF6CCA">
        <w:tc>
          <w:tcPr>
            <w:tcW w:w="9214" w:type="dxa"/>
          </w:tcPr>
          <w:p w14:paraId="37466816" w14:textId="77777777" w:rsidR="00CF6CCA" w:rsidRDefault="00CF6CCA" w:rsidP="0046327A">
            <w:r w:rsidRPr="0046327A">
              <w:rPr>
                <w:b/>
                <w:bCs/>
              </w:rPr>
              <w:t>Fuente:</w:t>
            </w:r>
            <w:r>
              <w:t xml:space="preserve"> Elaboración propia en base a datos de INDEC</w:t>
            </w:r>
          </w:p>
        </w:tc>
      </w:tr>
    </w:tbl>
    <w:p w14:paraId="1FDADBF7" w14:textId="7E4ACA31" w:rsidR="00911D02" w:rsidRDefault="00911D02" w:rsidP="006C13C5">
      <w:pPr>
        <w:ind w:left="-709"/>
      </w:pPr>
    </w:p>
    <w:tbl>
      <w:tblPr>
        <w:tblStyle w:val="Tablaconcuadrcula"/>
        <w:tblW w:w="981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0"/>
        <w:gridCol w:w="71"/>
      </w:tblGrid>
      <w:tr w:rsidR="006C13C5" w14:paraId="289180CB" w14:textId="77777777" w:rsidTr="009C63D5">
        <w:trPr>
          <w:gridAfter w:val="1"/>
          <w:wAfter w:w="597" w:type="dxa"/>
        </w:trPr>
        <w:tc>
          <w:tcPr>
            <w:tcW w:w="9214" w:type="dxa"/>
          </w:tcPr>
          <w:p w14:paraId="2AFF8B58" w14:textId="1D399065" w:rsidR="006C13C5" w:rsidRDefault="006C13C5" w:rsidP="00706FDD">
            <w:r w:rsidRPr="0046327A">
              <w:rPr>
                <w:b/>
                <w:bCs/>
              </w:rPr>
              <w:t>Gráfico 4.</w:t>
            </w:r>
            <w:r>
              <w:rPr>
                <w:b/>
                <w:bCs/>
              </w:rPr>
              <w:t>2</w:t>
            </w:r>
            <w:r>
              <w:t xml:space="preserve"> Exportaciones de cuero para la posición 41.04 (cuero curtido). 2017.T1 a</w:t>
            </w:r>
            <w:r w:rsidR="00AC738D">
              <w:t xml:space="preserve"> 2021.T2</w:t>
            </w:r>
          </w:p>
        </w:tc>
      </w:tr>
      <w:tr w:rsidR="006C13C5" w14:paraId="281C881A" w14:textId="77777777" w:rsidTr="009C63D5">
        <w:tblPrEx>
          <w:tblCellMar>
            <w:left w:w="70" w:type="dxa"/>
            <w:right w:w="70" w:type="dxa"/>
          </w:tblCellMar>
        </w:tblPrEx>
        <w:trPr>
          <w:gridAfter w:val="1"/>
          <w:wAfter w:w="597" w:type="dxa"/>
        </w:trPr>
        <w:tc>
          <w:tcPr>
            <w:tcW w:w="9214" w:type="dxa"/>
          </w:tcPr>
          <w:p w14:paraId="7106ACB5" w14:textId="2FC3883B" w:rsidR="006C13C5" w:rsidRDefault="00AC738D" w:rsidP="00706FDD">
            <w:r>
              <w:rPr>
                <w:noProof/>
                <w:lang w:eastAsia="es-MX"/>
              </w:rPr>
              <w:drawing>
                <wp:inline distT="0" distB="0" distL="0" distR="0" wp14:anchorId="2DEFF801" wp14:editId="4A2CB25D">
                  <wp:extent cx="6090285" cy="2292350"/>
                  <wp:effectExtent l="0" t="0" r="571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0285" cy="2292350"/>
                          </a:xfrm>
                          <a:prstGeom prst="rect">
                            <a:avLst/>
                          </a:prstGeom>
                          <a:noFill/>
                        </pic:spPr>
                      </pic:pic>
                    </a:graphicData>
                  </a:graphic>
                </wp:inline>
              </w:drawing>
            </w:r>
          </w:p>
        </w:tc>
      </w:tr>
      <w:tr w:rsidR="006C13C5" w14:paraId="715C03F3" w14:textId="77777777" w:rsidTr="009C63D5">
        <w:trPr>
          <w:gridAfter w:val="1"/>
          <w:wAfter w:w="597" w:type="dxa"/>
        </w:trPr>
        <w:tc>
          <w:tcPr>
            <w:tcW w:w="9214" w:type="dxa"/>
          </w:tcPr>
          <w:p w14:paraId="699E1A18" w14:textId="174FD4F1" w:rsidR="006C13C5" w:rsidRDefault="006C13C5" w:rsidP="00706FDD">
            <w:r w:rsidRPr="0046327A">
              <w:rPr>
                <w:b/>
                <w:bCs/>
              </w:rPr>
              <w:t>Fuente:</w:t>
            </w:r>
            <w:r>
              <w:t xml:space="preserve"> Elaboración propia en base a datos de INDEC</w:t>
            </w:r>
          </w:p>
        </w:tc>
      </w:tr>
      <w:tr w:rsidR="006C13C5" w14:paraId="2EC4C168" w14:textId="77777777" w:rsidTr="009C63D5">
        <w:tc>
          <w:tcPr>
            <w:tcW w:w="9811" w:type="dxa"/>
            <w:gridSpan w:val="2"/>
          </w:tcPr>
          <w:p w14:paraId="007344A3" w14:textId="77777777" w:rsidR="00AC738D" w:rsidRDefault="00AC738D" w:rsidP="00706FDD">
            <w:pPr>
              <w:rPr>
                <w:b/>
                <w:bCs/>
              </w:rPr>
            </w:pPr>
          </w:p>
          <w:p w14:paraId="6AE6AE97" w14:textId="7CAB356E" w:rsidR="006C13C5" w:rsidRDefault="006C13C5" w:rsidP="00706FDD">
            <w:r w:rsidRPr="0046327A">
              <w:rPr>
                <w:b/>
                <w:bCs/>
              </w:rPr>
              <w:t>Gráfico 4.</w:t>
            </w:r>
            <w:r>
              <w:rPr>
                <w:b/>
                <w:bCs/>
              </w:rPr>
              <w:t>3</w:t>
            </w:r>
            <w:r>
              <w:t xml:space="preserve"> Exportaciones de cuero para la posición 41.07 (cuero curtido). 2017.T1 a </w:t>
            </w:r>
            <w:r w:rsidR="00AC738D">
              <w:t>2021.T2</w:t>
            </w:r>
          </w:p>
        </w:tc>
      </w:tr>
      <w:tr w:rsidR="006C13C5" w14:paraId="22E0AFFE" w14:textId="77777777" w:rsidTr="009C63D5">
        <w:tblPrEx>
          <w:tblCellMar>
            <w:left w:w="70" w:type="dxa"/>
            <w:right w:w="70" w:type="dxa"/>
          </w:tblCellMar>
        </w:tblPrEx>
        <w:tc>
          <w:tcPr>
            <w:tcW w:w="9811" w:type="dxa"/>
            <w:gridSpan w:val="2"/>
          </w:tcPr>
          <w:p w14:paraId="4D3C71A5" w14:textId="6C204C6C" w:rsidR="006C13C5" w:rsidRDefault="00AC738D" w:rsidP="00706FDD">
            <w:r>
              <w:rPr>
                <w:noProof/>
                <w:lang w:eastAsia="es-MX"/>
              </w:rPr>
              <w:drawing>
                <wp:inline distT="0" distB="0" distL="0" distR="0" wp14:anchorId="44D093E1" wp14:editId="381A82FF">
                  <wp:extent cx="6090285" cy="2292350"/>
                  <wp:effectExtent l="0" t="0" r="571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0285" cy="2292350"/>
                          </a:xfrm>
                          <a:prstGeom prst="rect">
                            <a:avLst/>
                          </a:prstGeom>
                          <a:noFill/>
                        </pic:spPr>
                      </pic:pic>
                    </a:graphicData>
                  </a:graphic>
                </wp:inline>
              </w:drawing>
            </w:r>
          </w:p>
        </w:tc>
      </w:tr>
      <w:tr w:rsidR="006C13C5" w14:paraId="5DF469B5" w14:textId="77777777" w:rsidTr="009C63D5">
        <w:tc>
          <w:tcPr>
            <w:tcW w:w="9811" w:type="dxa"/>
            <w:gridSpan w:val="2"/>
          </w:tcPr>
          <w:p w14:paraId="20CC7014" w14:textId="6CA8D792" w:rsidR="006C13C5" w:rsidRDefault="006C13C5" w:rsidP="00706FDD">
            <w:r w:rsidRPr="0046327A">
              <w:rPr>
                <w:b/>
                <w:bCs/>
              </w:rPr>
              <w:t>Fuente:</w:t>
            </w:r>
            <w:r>
              <w:t xml:space="preserve"> Elaboración propia en base a datos de INDEC</w:t>
            </w:r>
          </w:p>
        </w:tc>
      </w:tr>
    </w:tbl>
    <w:p w14:paraId="7FFF6875" w14:textId="77777777" w:rsidR="001C6B8D" w:rsidRDefault="001C6B8D" w:rsidP="006C13C5">
      <w:pPr>
        <w:jc w:val="both"/>
        <w:rPr>
          <w:sz w:val="24"/>
          <w:lang w:val="es-AR"/>
        </w:rPr>
      </w:pPr>
    </w:p>
    <w:p w14:paraId="78AB9291" w14:textId="05571BFA" w:rsidR="00307A2D" w:rsidRDefault="00E91B67" w:rsidP="009C63D5">
      <w:pPr>
        <w:jc w:val="both"/>
        <w:rPr>
          <w:sz w:val="24"/>
          <w:lang w:val="es-AR"/>
        </w:rPr>
      </w:pPr>
      <w:r>
        <w:rPr>
          <w:sz w:val="24"/>
          <w:lang w:val="es-AR"/>
        </w:rPr>
        <w:t xml:space="preserve">Precios y cantidades se siguen moviendo en direcciones opuestas para la posición 4101. Las toneladas cayeron de 43 mil en T1 a 28 mil en T2. Esto fue compensado por un alza de casi USD 200 por tonelada exportada. Algo similar pero en valores más bajos sucede con la posición 4107, donde las cantidades aumentaron un 25% aproximadamente, mientras que el precio por tonelada cayó de USD 7,9 a USD 7,1. La posición 4104 recupera valores similares a los de 2020.T4 </w:t>
      </w:r>
    </w:p>
    <w:p w14:paraId="7ECFE2C3" w14:textId="77777777" w:rsidR="009C63D5" w:rsidRDefault="009C63D5" w:rsidP="009C63D5">
      <w:pPr>
        <w:jc w:val="both"/>
        <w:rPr>
          <w:sz w:val="24"/>
          <w:lang w:val="es-AR"/>
        </w:rPr>
      </w:pPr>
    </w:p>
    <w:p w14:paraId="1DC88E76" w14:textId="77777777" w:rsidR="00911D02" w:rsidRDefault="00911D02" w:rsidP="00911D02">
      <w:pPr>
        <w:pStyle w:val="Ttulo2"/>
      </w:pPr>
      <w:r>
        <w:t>2.2 Exportaciones por destino</w:t>
      </w:r>
    </w:p>
    <w:p w14:paraId="320DFD97" w14:textId="77777777" w:rsidR="00911D02" w:rsidRDefault="00911D02" w:rsidP="00911D02"/>
    <w:tbl>
      <w:tblPr>
        <w:tblStyle w:val="Tablaconcuadrcula"/>
        <w:tblW w:w="12475"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6"/>
        <w:gridCol w:w="3853"/>
        <w:gridCol w:w="4956"/>
      </w:tblGrid>
      <w:tr w:rsidR="006C13C5" w14:paraId="7B732057" w14:textId="77777777" w:rsidTr="008F6574">
        <w:tc>
          <w:tcPr>
            <w:tcW w:w="3666" w:type="dxa"/>
          </w:tcPr>
          <w:p w14:paraId="5D899029" w14:textId="3F4AF3D6" w:rsidR="006C13C5" w:rsidRDefault="006C13C5" w:rsidP="00A60ED0">
            <w:r w:rsidRPr="0046327A">
              <w:rPr>
                <w:b/>
                <w:bCs/>
              </w:rPr>
              <w:t xml:space="preserve">Gráfico </w:t>
            </w:r>
            <w:r>
              <w:rPr>
                <w:b/>
                <w:bCs/>
              </w:rPr>
              <w:t>5</w:t>
            </w:r>
            <w:r w:rsidRPr="0046327A">
              <w:rPr>
                <w:b/>
                <w:bCs/>
              </w:rPr>
              <w:t>.1</w:t>
            </w:r>
            <w:r>
              <w:t xml:space="preserve"> Exportaciones de cuero</w:t>
            </w:r>
            <w:r w:rsidR="004C0EA7">
              <w:t>.</w:t>
            </w:r>
            <w:r>
              <w:t xml:space="preserve"> </w:t>
            </w:r>
            <w:r w:rsidR="004C0EA7">
              <w:t>P</w:t>
            </w:r>
            <w:r>
              <w:t xml:space="preserve">osición 41.01. </w:t>
            </w:r>
            <w:r w:rsidR="008F6574">
              <w:t>D</w:t>
            </w:r>
            <w:r>
              <w:t>estinos</w:t>
            </w:r>
            <w:r w:rsidR="004C0EA7">
              <w:t xml:space="preserve">. </w:t>
            </w:r>
            <w:r w:rsidR="005574EE">
              <w:t>2021.T2</w:t>
            </w:r>
          </w:p>
        </w:tc>
        <w:tc>
          <w:tcPr>
            <w:tcW w:w="3853" w:type="dxa"/>
          </w:tcPr>
          <w:p w14:paraId="016C566B" w14:textId="7AC14259" w:rsidR="006C13C5" w:rsidRDefault="006C13C5" w:rsidP="00A60ED0">
            <w:r w:rsidRPr="0046327A">
              <w:rPr>
                <w:b/>
                <w:bCs/>
              </w:rPr>
              <w:t xml:space="preserve">Gráfico </w:t>
            </w:r>
            <w:r>
              <w:rPr>
                <w:b/>
                <w:bCs/>
              </w:rPr>
              <w:t>5</w:t>
            </w:r>
            <w:r w:rsidRPr="0046327A">
              <w:rPr>
                <w:b/>
                <w:bCs/>
              </w:rPr>
              <w:t>.</w:t>
            </w:r>
            <w:r>
              <w:rPr>
                <w:b/>
                <w:bCs/>
              </w:rPr>
              <w:t>2</w:t>
            </w:r>
            <w:r>
              <w:t xml:space="preserve"> </w:t>
            </w:r>
            <w:r w:rsidR="004C0EA7">
              <w:t xml:space="preserve">Exportaciones de cuero. Posición 41.04. Destinos. </w:t>
            </w:r>
            <w:r w:rsidR="005574EE">
              <w:t>2021.T2</w:t>
            </w:r>
          </w:p>
        </w:tc>
        <w:tc>
          <w:tcPr>
            <w:tcW w:w="4956" w:type="dxa"/>
          </w:tcPr>
          <w:p w14:paraId="343BF6AD" w14:textId="28DF35AD" w:rsidR="006C13C5" w:rsidRDefault="006C13C5" w:rsidP="006C13C5">
            <w:pPr>
              <w:ind w:right="955"/>
            </w:pPr>
            <w:r w:rsidRPr="0046327A">
              <w:rPr>
                <w:b/>
                <w:bCs/>
              </w:rPr>
              <w:t xml:space="preserve">Gráfico </w:t>
            </w:r>
            <w:r>
              <w:rPr>
                <w:b/>
                <w:bCs/>
              </w:rPr>
              <w:t>5</w:t>
            </w:r>
            <w:r w:rsidRPr="0046327A">
              <w:rPr>
                <w:b/>
                <w:bCs/>
              </w:rPr>
              <w:t>.</w:t>
            </w:r>
            <w:r>
              <w:rPr>
                <w:b/>
                <w:bCs/>
              </w:rPr>
              <w:t>3</w:t>
            </w:r>
            <w:r>
              <w:t xml:space="preserve"> </w:t>
            </w:r>
            <w:r w:rsidR="004C0EA7">
              <w:t xml:space="preserve">Exportaciones de cuero. Posición 41.07. Destinos. </w:t>
            </w:r>
            <w:r w:rsidR="005574EE">
              <w:t>2021.T2</w:t>
            </w:r>
          </w:p>
        </w:tc>
      </w:tr>
      <w:tr w:rsidR="006C13C5" w14:paraId="1C0C930E" w14:textId="77777777" w:rsidTr="001C6B8D">
        <w:tblPrEx>
          <w:tblCellMar>
            <w:left w:w="70" w:type="dxa"/>
            <w:right w:w="70" w:type="dxa"/>
          </w:tblCellMar>
        </w:tblPrEx>
        <w:tc>
          <w:tcPr>
            <w:tcW w:w="3666" w:type="dxa"/>
          </w:tcPr>
          <w:p w14:paraId="0AAC989E" w14:textId="4D0B4C7D" w:rsidR="006C13C5" w:rsidRDefault="00407E23" w:rsidP="00A60ED0">
            <w:r>
              <w:rPr>
                <w:noProof/>
                <w:lang w:eastAsia="es-MX"/>
              </w:rPr>
              <w:drawing>
                <wp:inline distT="0" distB="0" distL="0" distR="0" wp14:anchorId="1B3D305E" wp14:editId="7421BAE1">
                  <wp:extent cx="2438400" cy="1292225"/>
                  <wp:effectExtent l="0" t="0" r="0" b="317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0" cy="1292225"/>
                          </a:xfrm>
                          <a:prstGeom prst="rect">
                            <a:avLst/>
                          </a:prstGeom>
                          <a:noFill/>
                        </pic:spPr>
                      </pic:pic>
                    </a:graphicData>
                  </a:graphic>
                </wp:inline>
              </w:drawing>
            </w:r>
          </w:p>
        </w:tc>
        <w:tc>
          <w:tcPr>
            <w:tcW w:w="3853" w:type="dxa"/>
          </w:tcPr>
          <w:p w14:paraId="1A678997" w14:textId="686E64A3" w:rsidR="006C13C5" w:rsidRDefault="00407E23" w:rsidP="00A60ED0">
            <w:r>
              <w:rPr>
                <w:noProof/>
                <w:lang w:eastAsia="es-MX"/>
              </w:rPr>
              <w:drawing>
                <wp:inline distT="0" distB="0" distL="0" distR="0" wp14:anchorId="22806A43" wp14:editId="05BAC042">
                  <wp:extent cx="2438400" cy="1292225"/>
                  <wp:effectExtent l="0" t="0" r="0" b="317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1292225"/>
                          </a:xfrm>
                          <a:prstGeom prst="rect">
                            <a:avLst/>
                          </a:prstGeom>
                          <a:noFill/>
                        </pic:spPr>
                      </pic:pic>
                    </a:graphicData>
                  </a:graphic>
                </wp:inline>
              </w:drawing>
            </w:r>
          </w:p>
        </w:tc>
        <w:tc>
          <w:tcPr>
            <w:tcW w:w="4956" w:type="dxa"/>
          </w:tcPr>
          <w:p w14:paraId="1116356F" w14:textId="1B8B1AE8" w:rsidR="006C13C5" w:rsidRDefault="00407E23" w:rsidP="006C13C5">
            <w:pPr>
              <w:tabs>
                <w:tab w:val="left" w:pos="3197"/>
              </w:tabs>
              <w:ind w:right="1125"/>
            </w:pPr>
            <w:r>
              <w:rPr>
                <w:noProof/>
                <w:lang w:eastAsia="es-MX"/>
              </w:rPr>
              <w:drawing>
                <wp:inline distT="0" distB="0" distL="0" distR="0" wp14:anchorId="067C3DF7" wp14:editId="4DD5BB9B">
                  <wp:extent cx="2438400" cy="1286510"/>
                  <wp:effectExtent l="0" t="0" r="0" b="889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0" cy="1286510"/>
                          </a:xfrm>
                          <a:prstGeom prst="rect">
                            <a:avLst/>
                          </a:prstGeom>
                          <a:noFill/>
                        </pic:spPr>
                      </pic:pic>
                    </a:graphicData>
                  </a:graphic>
                </wp:inline>
              </w:drawing>
            </w:r>
          </w:p>
        </w:tc>
      </w:tr>
      <w:tr w:rsidR="008F2F25" w14:paraId="43FDD69D" w14:textId="77777777" w:rsidTr="001C6B8D">
        <w:tc>
          <w:tcPr>
            <w:tcW w:w="12475" w:type="dxa"/>
            <w:gridSpan w:val="3"/>
          </w:tcPr>
          <w:p w14:paraId="7A4BAB76" w14:textId="5143F139" w:rsidR="008F2F25" w:rsidRDefault="008F2F25" w:rsidP="008F2F25">
            <w:r w:rsidRPr="0046327A">
              <w:rPr>
                <w:b/>
                <w:bCs/>
              </w:rPr>
              <w:t>Fuente:</w:t>
            </w:r>
            <w:r>
              <w:t xml:space="preserve"> Elaboración propia en base a datos de INDEC</w:t>
            </w:r>
          </w:p>
        </w:tc>
      </w:tr>
    </w:tbl>
    <w:p w14:paraId="5DC65096" w14:textId="18C255E0" w:rsidR="00911D02" w:rsidRDefault="00911D02" w:rsidP="00A60ED0">
      <w:pPr>
        <w:ind w:left="-709"/>
      </w:pPr>
    </w:p>
    <w:p w14:paraId="71DDC383" w14:textId="5B21C025" w:rsidR="00911D02" w:rsidRDefault="001C6B8D" w:rsidP="00BE2286">
      <w:pPr>
        <w:rPr>
          <w:sz w:val="24"/>
        </w:rPr>
      </w:pPr>
      <w:r>
        <w:rPr>
          <w:sz w:val="24"/>
        </w:rPr>
        <w:t>El destino de las exportaciones se mantiene prácticamente sin cambios</w:t>
      </w:r>
    </w:p>
    <w:p w14:paraId="20C70E6B" w14:textId="77777777" w:rsidR="009C63D5" w:rsidRDefault="009C63D5" w:rsidP="00911D02">
      <w:pPr>
        <w:pStyle w:val="Ttulo2"/>
      </w:pPr>
    </w:p>
    <w:p w14:paraId="5D813B66" w14:textId="77777777" w:rsidR="00EA4E9D" w:rsidRDefault="00EA4E9D" w:rsidP="00EA4E9D"/>
    <w:p w14:paraId="41D08E13" w14:textId="77777777" w:rsidR="00EA4E9D" w:rsidRPr="00EA4E9D" w:rsidRDefault="00EA4E9D" w:rsidP="00EA4E9D"/>
    <w:p w14:paraId="63A25A5F" w14:textId="4CDBA147" w:rsidR="00911D02" w:rsidRDefault="00911D02" w:rsidP="00911D02">
      <w:pPr>
        <w:pStyle w:val="Ttulo2"/>
      </w:pPr>
      <w:r>
        <w:lastRenderedPageBreak/>
        <w:t>2.3 Demanda interna, por actividad</w:t>
      </w:r>
    </w:p>
    <w:p w14:paraId="6671C9FF" w14:textId="56A1207F" w:rsidR="00911D02" w:rsidRDefault="00911D02" w:rsidP="00911D02">
      <w:pPr>
        <w:pStyle w:val="Ttulo3"/>
      </w:pPr>
      <w:r>
        <w:t>2.3.1 Sector Automotriz</w:t>
      </w:r>
    </w:p>
    <w:tbl>
      <w:tblPr>
        <w:tblStyle w:val="Tablaconcuadrcula"/>
        <w:tblW w:w="10927"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5"/>
        <w:gridCol w:w="5856"/>
      </w:tblGrid>
      <w:tr w:rsidR="006A27E0" w14:paraId="5922CB16" w14:textId="77777777" w:rsidTr="0032799D">
        <w:tc>
          <w:tcPr>
            <w:tcW w:w="10927" w:type="dxa"/>
            <w:gridSpan w:val="2"/>
          </w:tcPr>
          <w:p w14:paraId="718A13B4" w14:textId="5C2C9ABF" w:rsidR="0032799D" w:rsidRDefault="0032799D" w:rsidP="0032799D">
            <w:r w:rsidRPr="00BE2286">
              <w:rPr>
                <w:b/>
                <w:bCs/>
              </w:rPr>
              <w:t>Gráfico 6.</w:t>
            </w:r>
            <w:r>
              <w:t xml:space="preserve"> Evolución de la producción y venta a concesionaria de automóviles.2015T1 a </w:t>
            </w:r>
            <w:r w:rsidR="006A27E0">
              <w:t>2021.T2</w:t>
            </w:r>
          </w:p>
        </w:tc>
      </w:tr>
      <w:tr w:rsidR="006A27E0" w14:paraId="5E0C7460" w14:textId="77777777" w:rsidTr="0032799D">
        <w:tc>
          <w:tcPr>
            <w:tcW w:w="5245" w:type="dxa"/>
          </w:tcPr>
          <w:p w14:paraId="26D5FE02" w14:textId="11C4EFB2" w:rsidR="0032799D" w:rsidRDefault="008E1669" w:rsidP="0032799D">
            <w:pPr>
              <w:jc w:val="center"/>
            </w:pPr>
            <w:r>
              <w:rPr>
                <w:noProof/>
                <w:lang w:eastAsia="es-MX"/>
              </w:rPr>
              <w:drawing>
                <wp:inline distT="0" distB="0" distL="0" distR="0" wp14:anchorId="678CFE3A" wp14:editId="6794D568">
                  <wp:extent cx="3359117" cy="21189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65545" cy="2123050"/>
                          </a:xfrm>
                          <a:prstGeom prst="rect">
                            <a:avLst/>
                          </a:prstGeom>
                          <a:noFill/>
                        </pic:spPr>
                      </pic:pic>
                    </a:graphicData>
                  </a:graphic>
                </wp:inline>
              </w:drawing>
            </w:r>
          </w:p>
        </w:tc>
        <w:tc>
          <w:tcPr>
            <w:tcW w:w="5670" w:type="dxa"/>
          </w:tcPr>
          <w:p w14:paraId="7A7E6598" w14:textId="1AE0812D" w:rsidR="0032799D" w:rsidRDefault="006A27E0" w:rsidP="0032799D">
            <w:r>
              <w:rPr>
                <w:noProof/>
                <w:lang w:eastAsia="es-MX"/>
              </w:rPr>
              <w:drawing>
                <wp:inline distT="0" distB="0" distL="0" distR="0" wp14:anchorId="2CE07577" wp14:editId="56CB5AA9">
                  <wp:extent cx="3577933" cy="2148745"/>
                  <wp:effectExtent l="0" t="0" r="381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03143" cy="2163885"/>
                          </a:xfrm>
                          <a:prstGeom prst="rect">
                            <a:avLst/>
                          </a:prstGeom>
                          <a:noFill/>
                        </pic:spPr>
                      </pic:pic>
                    </a:graphicData>
                  </a:graphic>
                </wp:inline>
              </w:drawing>
            </w:r>
          </w:p>
        </w:tc>
      </w:tr>
      <w:tr w:rsidR="006A27E0" w14:paraId="77B174A6" w14:textId="77777777" w:rsidTr="0032799D">
        <w:tc>
          <w:tcPr>
            <w:tcW w:w="10927" w:type="dxa"/>
            <w:gridSpan w:val="2"/>
          </w:tcPr>
          <w:p w14:paraId="14435F73" w14:textId="649A6654" w:rsidR="0032799D" w:rsidRDefault="0032799D" w:rsidP="0032799D">
            <w:r w:rsidRPr="00BE2286">
              <w:rPr>
                <w:b/>
                <w:bCs/>
              </w:rPr>
              <w:t>Fuente:</w:t>
            </w:r>
            <w:r>
              <w:t xml:space="preserve"> Elaboración propia en base a datos de ADEFA</w:t>
            </w:r>
          </w:p>
        </w:tc>
      </w:tr>
    </w:tbl>
    <w:p w14:paraId="7E6895E7" w14:textId="77777777" w:rsidR="0032799D" w:rsidRPr="0032799D" w:rsidRDefault="0032799D" w:rsidP="0032799D"/>
    <w:p w14:paraId="2B567B3B" w14:textId="5261E7C6" w:rsidR="00BE2286" w:rsidRDefault="006A27E0" w:rsidP="00893C2B">
      <w:pPr>
        <w:jc w:val="both"/>
        <w:rPr>
          <w:sz w:val="24"/>
          <w:lang w:val="es-AR"/>
        </w:rPr>
      </w:pPr>
      <w:r>
        <w:rPr>
          <w:sz w:val="24"/>
          <w:lang w:val="es-AR"/>
        </w:rPr>
        <w:t>El sector continúa estancado, y las ventas se siguen moviendo en compas con la producción. La dinámica mensual de la producción en 2021.T2 fue idéntica a la de 2021.T1, acelerándose mes a mes, finalizando el trimestre un 30% por encima del primer mes del trimestre. La venta a concesionarios fue prácticamente idéntica todos los meses y no muestra diferencias significativas con el trimestre anterior.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BE2286" w14:paraId="04A4734D" w14:textId="77777777" w:rsidTr="008F6574">
        <w:tc>
          <w:tcPr>
            <w:tcW w:w="8495" w:type="dxa"/>
          </w:tcPr>
          <w:p w14:paraId="366CBD3C" w14:textId="1B9B4685" w:rsidR="00BE2286" w:rsidRDefault="00BE2286" w:rsidP="00911D02">
            <w:r w:rsidRPr="00BE2286">
              <w:rPr>
                <w:b/>
                <w:bCs/>
              </w:rPr>
              <w:t xml:space="preserve">Tabla </w:t>
            </w:r>
            <w:r w:rsidR="0032799D">
              <w:rPr>
                <w:b/>
                <w:bCs/>
              </w:rPr>
              <w:t>2</w:t>
            </w:r>
            <w:r w:rsidRPr="00BE2286">
              <w:rPr>
                <w:b/>
                <w:bCs/>
              </w:rPr>
              <w:t>.</w:t>
            </w:r>
            <w:r>
              <w:t xml:space="preserve"> Producción y venta a concesionaria de automóviles. Variaciones. 2017T1 a </w:t>
            </w:r>
            <w:r w:rsidR="006A27E0">
              <w:t>2021.T2</w:t>
            </w:r>
          </w:p>
        </w:tc>
      </w:tr>
      <w:tr w:rsidR="00BE2286" w14:paraId="699D4350" w14:textId="77777777" w:rsidTr="008F6574">
        <w:tc>
          <w:tcPr>
            <w:tcW w:w="8495" w:type="dxa"/>
          </w:tcPr>
          <w:p w14:paraId="33E815E8" w14:textId="3FF72A17" w:rsidR="00BE2286" w:rsidRDefault="006A27E0" w:rsidP="00911D02">
            <w:r w:rsidRPr="006A27E0">
              <w:rPr>
                <w:noProof/>
                <w:lang w:eastAsia="es-MX"/>
              </w:rPr>
              <w:drawing>
                <wp:inline distT="0" distB="0" distL="0" distR="0" wp14:anchorId="4A9C50BF" wp14:editId="3785EB23">
                  <wp:extent cx="5290207" cy="4105275"/>
                  <wp:effectExtent l="0" t="0" r="571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92251" cy="4106861"/>
                          </a:xfrm>
                          <a:prstGeom prst="rect">
                            <a:avLst/>
                          </a:prstGeom>
                          <a:noFill/>
                          <a:ln>
                            <a:noFill/>
                          </a:ln>
                        </pic:spPr>
                      </pic:pic>
                    </a:graphicData>
                  </a:graphic>
                </wp:inline>
              </w:drawing>
            </w:r>
          </w:p>
        </w:tc>
      </w:tr>
      <w:tr w:rsidR="00BE2286" w14:paraId="2C6D2918" w14:textId="77777777" w:rsidTr="008F6574">
        <w:tc>
          <w:tcPr>
            <w:tcW w:w="8495" w:type="dxa"/>
          </w:tcPr>
          <w:p w14:paraId="512C52B1" w14:textId="1937880F" w:rsidR="00BE2286" w:rsidRDefault="00BE2286" w:rsidP="00911D02">
            <w:r w:rsidRPr="00BE2286">
              <w:rPr>
                <w:b/>
                <w:bCs/>
              </w:rPr>
              <w:t>Fuente:</w:t>
            </w:r>
            <w:r>
              <w:t xml:space="preserve"> Elaboración propia en base a datos de ADEFA</w:t>
            </w:r>
          </w:p>
        </w:tc>
      </w:tr>
    </w:tbl>
    <w:p w14:paraId="5ED01036" w14:textId="77777777" w:rsidR="00911D02" w:rsidRPr="004A0C16" w:rsidRDefault="00911D02" w:rsidP="00911D02">
      <w:pPr>
        <w:pStyle w:val="Ttulo3"/>
      </w:pPr>
      <w:r>
        <w:lastRenderedPageBreak/>
        <w:t xml:space="preserve">2.3.2 Sector calzados y marroquinería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BE2286" w14:paraId="6BF0FBE8" w14:textId="77777777" w:rsidTr="008F6574">
        <w:tc>
          <w:tcPr>
            <w:tcW w:w="8495" w:type="dxa"/>
          </w:tcPr>
          <w:p w14:paraId="3A12526D" w14:textId="129442C5" w:rsidR="00BE2286" w:rsidRDefault="00BE2286" w:rsidP="00B85DD2">
            <w:pPr>
              <w:rPr>
                <w:rFonts w:eastAsiaTheme="minorEastAsia" w:hAnsi="Calibri"/>
                <w:color w:val="000000" w:themeColor="text1"/>
                <w:kern w:val="24"/>
                <w:sz w:val="24"/>
                <w:szCs w:val="36"/>
                <w:lang w:val="es-AR" w:eastAsia="es-MX"/>
              </w:rPr>
            </w:pPr>
            <w:r w:rsidRPr="00707C8E">
              <w:rPr>
                <w:rFonts w:eastAsiaTheme="minorEastAsia" w:hAnsi="Calibri"/>
                <w:b/>
                <w:bCs/>
                <w:color w:val="000000" w:themeColor="text1"/>
                <w:kern w:val="24"/>
                <w:szCs w:val="32"/>
                <w:lang w:val="es-AR" w:eastAsia="es-MX"/>
              </w:rPr>
              <w:t>Gráfico 7.</w:t>
            </w:r>
            <w:r w:rsidRPr="00BE2286">
              <w:rPr>
                <w:rFonts w:eastAsiaTheme="minorEastAsia" w:hAnsi="Calibri"/>
                <w:color w:val="000000" w:themeColor="text1"/>
                <w:kern w:val="24"/>
                <w:szCs w:val="32"/>
                <w:lang w:val="es-AR" w:eastAsia="es-MX"/>
              </w:rPr>
              <w:t xml:space="preserve"> </w:t>
            </w:r>
            <w:r w:rsidR="00707C8E" w:rsidRPr="00707C8E">
              <w:rPr>
                <w:rFonts w:eastAsiaTheme="minorEastAsia" w:hAnsi="Calibri"/>
                <w:color w:val="000000" w:themeColor="text1"/>
                <w:kern w:val="24"/>
                <w:szCs w:val="32"/>
                <w:lang w:val="es-AR" w:eastAsia="es-MX"/>
              </w:rPr>
              <w:t>Variación interanual de ventas minoristas</w:t>
            </w:r>
            <w:r w:rsidR="00707C8E">
              <w:rPr>
                <w:rFonts w:eastAsiaTheme="minorEastAsia" w:hAnsi="Calibri"/>
                <w:color w:val="000000" w:themeColor="text1"/>
                <w:kern w:val="24"/>
                <w:szCs w:val="32"/>
                <w:lang w:val="es-AR" w:eastAsia="es-MX"/>
              </w:rPr>
              <w:t xml:space="preserve"> de Calzado y Marroquinería</w:t>
            </w:r>
            <w:r w:rsidR="00707C8E" w:rsidRPr="00707C8E">
              <w:rPr>
                <w:rFonts w:eastAsiaTheme="minorEastAsia" w:hAnsi="Calibri"/>
                <w:color w:val="000000" w:themeColor="text1"/>
                <w:kern w:val="24"/>
                <w:szCs w:val="32"/>
                <w:lang w:val="es-AR" w:eastAsia="es-MX"/>
              </w:rPr>
              <w:t xml:space="preserve"> (Físicas + online)</w:t>
            </w:r>
            <w:r w:rsidR="00707C8E">
              <w:rPr>
                <w:rFonts w:eastAsiaTheme="minorEastAsia" w:hAnsi="Calibri"/>
                <w:color w:val="000000" w:themeColor="text1"/>
                <w:kern w:val="24"/>
                <w:szCs w:val="32"/>
                <w:lang w:val="es-AR" w:eastAsia="es-MX"/>
              </w:rPr>
              <w:t xml:space="preserve">. Enero 2018 a </w:t>
            </w:r>
            <w:r w:rsidR="00B85DD2">
              <w:rPr>
                <w:rFonts w:eastAsiaTheme="minorEastAsia" w:hAnsi="Calibri"/>
                <w:color w:val="000000" w:themeColor="text1"/>
                <w:kern w:val="24"/>
                <w:szCs w:val="32"/>
                <w:lang w:val="es-AR" w:eastAsia="es-MX"/>
              </w:rPr>
              <w:t>Junio</w:t>
            </w:r>
            <w:r w:rsidR="00113EA5">
              <w:rPr>
                <w:rFonts w:eastAsiaTheme="minorEastAsia" w:hAnsi="Calibri"/>
                <w:color w:val="000000" w:themeColor="text1"/>
                <w:kern w:val="24"/>
                <w:szCs w:val="32"/>
                <w:lang w:val="es-AR" w:eastAsia="es-MX"/>
              </w:rPr>
              <w:t xml:space="preserve"> 2021</w:t>
            </w:r>
          </w:p>
        </w:tc>
      </w:tr>
      <w:tr w:rsidR="00BE2286" w14:paraId="7FD3BC46" w14:textId="77777777" w:rsidTr="008F6574">
        <w:tc>
          <w:tcPr>
            <w:tcW w:w="8495" w:type="dxa"/>
          </w:tcPr>
          <w:p w14:paraId="16FCEB18" w14:textId="5A007B70" w:rsidR="00BE2286" w:rsidRDefault="00B85DD2" w:rsidP="00911D02">
            <w:pPr>
              <w:rPr>
                <w:rFonts w:eastAsiaTheme="minorEastAsia" w:hAnsi="Calibri"/>
                <w:color w:val="000000" w:themeColor="text1"/>
                <w:kern w:val="24"/>
                <w:sz w:val="24"/>
                <w:szCs w:val="36"/>
                <w:lang w:val="es-AR" w:eastAsia="es-MX"/>
              </w:rPr>
            </w:pPr>
            <w:r>
              <w:rPr>
                <w:rFonts w:eastAsiaTheme="minorEastAsia" w:hAnsi="Calibri"/>
                <w:noProof/>
                <w:color w:val="000000" w:themeColor="text1"/>
                <w:kern w:val="24"/>
                <w:sz w:val="24"/>
                <w:szCs w:val="36"/>
                <w:lang w:eastAsia="es-MX"/>
              </w:rPr>
              <w:drawing>
                <wp:inline distT="0" distB="0" distL="0" distR="0" wp14:anchorId="109CED50" wp14:editId="26490C36">
                  <wp:extent cx="5290185" cy="2546846"/>
                  <wp:effectExtent l="0" t="0" r="5715"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9744" cy="2551448"/>
                          </a:xfrm>
                          <a:prstGeom prst="rect">
                            <a:avLst/>
                          </a:prstGeom>
                          <a:noFill/>
                        </pic:spPr>
                      </pic:pic>
                    </a:graphicData>
                  </a:graphic>
                </wp:inline>
              </w:drawing>
            </w:r>
          </w:p>
        </w:tc>
      </w:tr>
      <w:tr w:rsidR="00BE2286" w14:paraId="636E305A" w14:textId="77777777" w:rsidTr="008F6574">
        <w:tc>
          <w:tcPr>
            <w:tcW w:w="8495" w:type="dxa"/>
          </w:tcPr>
          <w:p w14:paraId="78EAD159" w14:textId="0013AC8D" w:rsidR="00BE2286" w:rsidRDefault="00707C8E" w:rsidP="00911D02">
            <w:pPr>
              <w:rPr>
                <w:rFonts w:eastAsiaTheme="minorEastAsia" w:hAnsi="Calibri"/>
                <w:color w:val="000000" w:themeColor="text1"/>
                <w:kern w:val="24"/>
                <w:sz w:val="24"/>
                <w:szCs w:val="36"/>
                <w:lang w:val="es-AR" w:eastAsia="es-MX"/>
              </w:rPr>
            </w:pPr>
            <w:r w:rsidRPr="00BE2286">
              <w:rPr>
                <w:b/>
                <w:bCs/>
              </w:rPr>
              <w:t>Fuente:</w:t>
            </w:r>
            <w:r>
              <w:t xml:space="preserve"> Elaboración propia en base a datos de CAME</w:t>
            </w:r>
          </w:p>
        </w:tc>
      </w:tr>
    </w:tbl>
    <w:p w14:paraId="6F0ADF80" w14:textId="29F8E02D" w:rsidR="00911D02" w:rsidRDefault="00911D02" w:rsidP="004C0EA7">
      <w:pPr>
        <w:jc w:val="both"/>
        <w:rPr>
          <w:rFonts w:eastAsiaTheme="minorEastAsia" w:hAnsi="Calibri"/>
          <w:color w:val="000000" w:themeColor="text1"/>
          <w:kern w:val="24"/>
          <w:sz w:val="24"/>
          <w:szCs w:val="36"/>
          <w:lang w:val="es-AR" w:eastAsia="es-MX"/>
        </w:rPr>
      </w:pPr>
    </w:p>
    <w:p w14:paraId="4BBCF138" w14:textId="1423C28D" w:rsidR="00113EA5" w:rsidRPr="00796FE4" w:rsidRDefault="00113EA5" w:rsidP="00113EA5">
      <w:pPr>
        <w:jc w:val="both"/>
        <w:rPr>
          <w:rFonts w:eastAsiaTheme="minorEastAsia" w:hAnsi="Calibri"/>
          <w:color w:val="000000" w:themeColor="text1"/>
          <w:kern w:val="24"/>
          <w:sz w:val="24"/>
          <w:szCs w:val="36"/>
          <w:lang w:val="es-AR" w:eastAsia="es-MX"/>
        </w:rPr>
      </w:pPr>
      <w:r w:rsidRPr="00113EA5">
        <w:rPr>
          <w:rFonts w:eastAsiaTheme="minorEastAsia" w:hAnsi="Calibri"/>
          <w:color w:val="000000" w:themeColor="text1"/>
          <w:kern w:val="24"/>
          <w:sz w:val="24"/>
          <w:szCs w:val="36"/>
          <w:lang w:val="es-AR" w:eastAsia="es-MX"/>
        </w:rPr>
        <w:t xml:space="preserve">El </w:t>
      </w:r>
      <w:r w:rsidR="00B85DD2">
        <w:rPr>
          <w:rFonts w:eastAsiaTheme="minorEastAsia" w:hAnsi="Calibri"/>
          <w:color w:val="000000" w:themeColor="text1"/>
          <w:kern w:val="24"/>
          <w:sz w:val="24"/>
          <w:szCs w:val="36"/>
          <w:lang w:val="es-AR" w:eastAsia="es-MX"/>
        </w:rPr>
        <w:t>salto de 70% en abril y 75% en mayo está totalmente relacionado con lo sucedido en 2020 y la cuarentena. De todos modos, en el último mes del trimestre, las ventas minoristas se ubicaron un 23,8% por encima de su valor de 2020.</w:t>
      </w:r>
    </w:p>
    <w:p w14:paraId="1E6BC060" w14:textId="77777777" w:rsidR="00911D02" w:rsidRDefault="00911D02" w:rsidP="00911D02">
      <w:pPr>
        <w:pStyle w:val="Ttulo1"/>
      </w:pPr>
      <w:r>
        <w:t>3. Empleo</w:t>
      </w:r>
    </w:p>
    <w:tbl>
      <w:tblPr>
        <w:tblStyle w:val="Tablaconcuadrcula"/>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0"/>
      </w:tblGrid>
      <w:tr w:rsidR="00A3774F" w14:paraId="0B704E8E" w14:textId="77777777" w:rsidTr="008F6574">
        <w:tc>
          <w:tcPr>
            <w:tcW w:w="9781" w:type="dxa"/>
          </w:tcPr>
          <w:p w14:paraId="1B4A461C" w14:textId="3D71C607" w:rsidR="00707C8E" w:rsidRDefault="00707C8E" w:rsidP="00911D02">
            <w:r w:rsidRPr="00707C8E">
              <w:rPr>
                <w:b/>
                <w:bCs/>
              </w:rPr>
              <w:t>Gráfico 8.1</w:t>
            </w:r>
            <w:r>
              <w:t xml:space="preserve"> Empleo asalariado registrado. Sector “Curtido y terminación de cueros”. 2015.T1 a 20</w:t>
            </w:r>
            <w:r w:rsidR="00B85DD2">
              <w:t>21.T1</w:t>
            </w:r>
          </w:p>
        </w:tc>
      </w:tr>
      <w:tr w:rsidR="00A3774F" w14:paraId="1AEDA7A6" w14:textId="77777777" w:rsidTr="00E17A95">
        <w:tblPrEx>
          <w:tblCellMar>
            <w:left w:w="70" w:type="dxa"/>
            <w:right w:w="70" w:type="dxa"/>
          </w:tblCellMar>
        </w:tblPrEx>
        <w:tc>
          <w:tcPr>
            <w:tcW w:w="9781" w:type="dxa"/>
          </w:tcPr>
          <w:p w14:paraId="6E8261C5" w14:textId="11441C6F" w:rsidR="00707C8E" w:rsidRDefault="00E17A95" w:rsidP="00911D02">
            <w:r>
              <w:rPr>
                <w:noProof/>
                <w:lang w:eastAsia="es-MX"/>
              </w:rPr>
              <w:drawing>
                <wp:inline distT="0" distB="0" distL="0" distR="0" wp14:anchorId="7D039820" wp14:editId="032FCCC5">
                  <wp:extent cx="6134100" cy="1899285"/>
                  <wp:effectExtent l="0" t="0" r="0" b="5715"/>
                  <wp:docPr id="24" name="Gráfico 2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A3774F" w14:paraId="3DBA0E00" w14:textId="77777777" w:rsidTr="008F6574">
        <w:tc>
          <w:tcPr>
            <w:tcW w:w="9781" w:type="dxa"/>
          </w:tcPr>
          <w:p w14:paraId="2A454021" w14:textId="6757BD20" w:rsidR="00707C8E" w:rsidRDefault="00707C8E" w:rsidP="00911D02">
            <w:r w:rsidRPr="00707C8E">
              <w:rPr>
                <w:b/>
                <w:bCs/>
              </w:rPr>
              <w:t>Fuente:</w:t>
            </w:r>
            <w:r>
              <w:t xml:space="preserve"> Elaboración propia en base a datos de Ministerios de Trabajo</w:t>
            </w:r>
          </w:p>
        </w:tc>
      </w:tr>
    </w:tbl>
    <w:p w14:paraId="28E2689E" w14:textId="41123FB1" w:rsidR="00911D02" w:rsidRDefault="00911D02" w:rsidP="00911D02"/>
    <w:tbl>
      <w:tblPr>
        <w:tblStyle w:val="Tablaconcuadrcula"/>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8F6574" w14:paraId="60100C28" w14:textId="77777777" w:rsidTr="008F6574">
        <w:tc>
          <w:tcPr>
            <w:tcW w:w="9781" w:type="dxa"/>
          </w:tcPr>
          <w:p w14:paraId="5B3A20FA" w14:textId="42865FBF" w:rsidR="00707C8E" w:rsidRDefault="00707C8E" w:rsidP="00706FDD">
            <w:r w:rsidRPr="00707C8E">
              <w:rPr>
                <w:b/>
                <w:bCs/>
              </w:rPr>
              <w:t>Gráfico 8.</w:t>
            </w:r>
            <w:r>
              <w:rPr>
                <w:b/>
                <w:bCs/>
              </w:rPr>
              <w:t>2</w:t>
            </w:r>
            <w:r>
              <w:t xml:space="preserve"> Empleo asalariado registrado. Sector “</w:t>
            </w:r>
            <w:r w:rsidRPr="00707C8E">
              <w:t>Fabricación de maletas, bolsos de mano y similares, artículos de talabartería y artículos de cuero n.c.p.</w:t>
            </w:r>
            <w:r>
              <w:t xml:space="preserve">”. 2015.T1 a </w:t>
            </w:r>
            <w:r w:rsidR="00B85DD2">
              <w:t>2021.T1</w:t>
            </w:r>
          </w:p>
        </w:tc>
      </w:tr>
      <w:tr w:rsidR="008F6574" w14:paraId="790E146F" w14:textId="77777777" w:rsidTr="00E17A95">
        <w:tblPrEx>
          <w:tblCellMar>
            <w:left w:w="70" w:type="dxa"/>
            <w:right w:w="70" w:type="dxa"/>
          </w:tblCellMar>
        </w:tblPrEx>
        <w:tc>
          <w:tcPr>
            <w:tcW w:w="9781" w:type="dxa"/>
          </w:tcPr>
          <w:p w14:paraId="62AF459A" w14:textId="63EA6DC4" w:rsidR="00707C8E" w:rsidRDefault="00E17A95" w:rsidP="00706FDD">
            <w:r>
              <w:rPr>
                <w:noProof/>
                <w:lang w:eastAsia="es-MX"/>
              </w:rPr>
              <w:lastRenderedPageBreak/>
              <w:drawing>
                <wp:inline distT="0" distB="0" distL="0" distR="0" wp14:anchorId="3381D9E9" wp14:editId="45607AC4">
                  <wp:extent cx="6086475" cy="1892300"/>
                  <wp:effectExtent l="0" t="0" r="0" b="0"/>
                  <wp:docPr id="28" name="Gráfico 2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8F6574" w14:paraId="3960882B" w14:textId="77777777" w:rsidTr="008F6574">
        <w:tc>
          <w:tcPr>
            <w:tcW w:w="9781" w:type="dxa"/>
          </w:tcPr>
          <w:p w14:paraId="2C32F151" w14:textId="77777777" w:rsidR="00707C8E" w:rsidRDefault="00707C8E" w:rsidP="00706FDD">
            <w:r w:rsidRPr="00707C8E">
              <w:rPr>
                <w:b/>
                <w:bCs/>
              </w:rPr>
              <w:t>Fuente:</w:t>
            </w:r>
            <w:r>
              <w:t xml:space="preserve"> Elaboración propia en base a datos de Ministerios de Trabajo</w:t>
            </w:r>
          </w:p>
        </w:tc>
      </w:tr>
    </w:tbl>
    <w:p w14:paraId="6D8D7F5C" w14:textId="77777777" w:rsidR="004C0EA7" w:rsidRDefault="004C0EA7" w:rsidP="00911D02">
      <w:pPr>
        <w:jc w:val="both"/>
        <w:rPr>
          <w:sz w:val="24"/>
        </w:rPr>
      </w:pPr>
    </w:p>
    <w:tbl>
      <w:tblPr>
        <w:tblStyle w:val="Tablaconcuadrcula"/>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707C8E" w14:paraId="45A6C490" w14:textId="77777777" w:rsidTr="008F6574">
        <w:tc>
          <w:tcPr>
            <w:tcW w:w="9781" w:type="dxa"/>
          </w:tcPr>
          <w:p w14:paraId="344E9494" w14:textId="7121F5DA" w:rsidR="00707C8E" w:rsidRDefault="00707C8E" w:rsidP="00706FDD">
            <w:r w:rsidRPr="00707C8E">
              <w:rPr>
                <w:b/>
                <w:bCs/>
              </w:rPr>
              <w:t>Gráfico 8.</w:t>
            </w:r>
            <w:r>
              <w:rPr>
                <w:b/>
                <w:bCs/>
              </w:rPr>
              <w:t>3</w:t>
            </w:r>
            <w:r>
              <w:t xml:space="preserve"> Empleo asalariado registrado. Sector “</w:t>
            </w:r>
            <w:r w:rsidRPr="00707C8E">
              <w:t>Fabricación de calzado y de sus partes</w:t>
            </w:r>
            <w:r>
              <w:t xml:space="preserve">”. 2015.T1 a </w:t>
            </w:r>
            <w:r w:rsidR="00B85DD2">
              <w:t>2021.T1</w:t>
            </w:r>
          </w:p>
        </w:tc>
      </w:tr>
      <w:tr w:rsidR="00707C8E" w14:paraId="1BE5F6DA" w14:textId="77777777" w:rsidTr="00E17A95">
        <w:tblPrEx>
          <w:tblCellMar>
            <w:left w:w="70" w:type="dxa"/>
            <w:right w:w="70" w:type="dxa"/>
          </w:tblCellMar>
        </w:tblPrEx>
        <w:tc>
          <w:tcPr>
            <w:tcW w:w="9781" w:type="dxa"/>
          </w:tcPr>
          <w:p w14:paraId="29CF9724" w14:textId="7CF7403C" w:rsidR="00707C8E" w:rsidRDefault="00E17A95" w:rsidP="00706FDD">
            <w:r>
              <w:rPr>
                <w:noProof/>
                <w:lang w:eastAsia="es-MX"/>
              </w:rPr>
              <w:drawing>
                <wp:inline distT="0" distB="0" distL="0" distR="0" wp14:anchorId="34684B0A" wp14:editId="2F7AC9AB">
                  <wp:extent cx="5924550" cy="1884045"/>
                  <wp:effectExtent l="0" t="0" r="0" b="1905"/>
                  <wp:docPr id="29" name="Gráfico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707C8E" w14:paraId="733CD08D" w14:textId="77777777" w:rsidTr="008F6574">
        <w:tc>
          <w:tcPr>
            <w:tcW w:w="9781" w:type="dxa"/>
          </w:tcPr>
          <w:p w14:paraId="603BDA91" w14:textId="77777777" w:rsidR="00707C8E" w:rsidRDefault="00707C8E" w:rsidP="00706FDD">
            <w:r w:rsidRPr="00707C8E">
              <w:rPr>
                <w:b/>
                <w:bCs/>
              </w:rPr>
              <w:t>Fuente:</w:t>
            </w:r>
            <w:r>
              <w:t xml:space="preserve"> Elaboración propia en base a datos de Ministerios de Trabajo</w:t>
            </w:r>
          </w:p>
        </w:tc>
      </w:tr>
    </w:tbl>
    <w:p w14:paraId="60AEFDE1" w14:textId="7744C223" w:rsidR="00707C8E" w:rsidRDefault="00707C8E" w:rsidP="00911D02">
      <w:pPr>
        <w:jc w:val="both"/>
        <w:rPr>
          <w:sz w:val="24"/>
        </w:rPr>
      </w:pPr>
    </w:p>
    <w:tbl>
      <w:tblPr>
        <w:tblStyle w:val="Tablaconcuadrcula"/>
        <w:tblW w:w="1018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5"/>
      </w:tblGrid>
      <w:tr w:rsidR="00707C8E" w14:paraId="10CA900A" w14:textId="77777777" w:rsidTr="004C0EA7">
        <w:tc>
          <w:tcPr>
            <w:tcW w:w="10185" w:type="dxa"/>
          </w:tcPr>
          <w:p w14:paraId="73EE1C8F" w14:textId="72073DBA" w:rsidR="00707C8E" w:rsidRDefault="00707C8E" w:rsidP="00706FDD">
            <w:r w:rsidRPr="00707C8E">
              <w:rPr>
                <w:b/>
                <w:bCs/>
              </w:rPr>
              <w:t>Gráfico 8.</w:t>
            </w:r>
            <w:r>
              <w:rPr>
                <w:b/>
                <w:bCs/>
              </w:rPr>
              <w:t>4</w:t>
            </w:r>
            <w:r>
              <w:t xml:space="preserve"> Empleo asalariado registrado. Sector “</w:t>
            </w:r>
            <w:r w:rsidRPr="00707C8E">
              <w:t>Fabricación de vehículos automotores</w:t>
            </w:r>
            <w:r>
              <w:t xml:space="preserve">”. 2015.T1 a </w:t>
            </w:r>
            <w:r w:rsidR="00B85DD2">
              <w:t>2021.T1</w:t>
            </w:r>
          </w:p>
        </w:tc>
      </w:tr>
      <w:tr w:rsidR="00707C8E" w14:paraId="37AD8942" w14:textId="77777777" w:rsidTr="00E17A95">
        <w:tblPrEx>
          <w:tblCellMar>
            <w:left w:w="70" w:type="dxa"/>
            <w:right w:w="70" w:type="dxa"/>
          </w:tblCellMar>
        </w:tblPrEx>
        <w:tc>
          <w:tcPr>
            <w:tcW w:w="10185" w:type="dxa"/>
          </w:tcPr>
          <w:p w14:paraId="46048D4C" w14:textId="7242A558" w:rsidR="00707C8E" w:rsidRDefault="00E17A95" w:rsidP="00706FDD">
            <w:r>
              <w:rPr>
                <w:noProof/>
                <w:lang w:eastAsia="es-MX"/>
              </w:rPr>
              <w:drawing>
                <wp:inline distT="0" distB="0" distL="0" distR="0" wp14:anchorId="01CE1D81" wp14:editId="32DCCF74">
                  <wp:extent cx="6257925" cy="1877695"/>
                  <wp:effectExtent l="0" t="0" r="0" b="8255"/>
                  <wp:docPr id="37" name="Gráfico 3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707C8E" w14:paraId="5B5046B9" w14:textId="77777777" w:rsidTr="004C0EA7">
        <w:tc>
          <w:tcPr>
            <w:tcW w:w="10185" w:type="dxa"/>
          </w:tcPr>
          <w:p w14:paraId="17776AFE" w14:textId="77777777" w:rsidR="00707C8E" w:rsidRDefault="00707C8E" w:rsidP="00706FDD">
            <w:r w:rsidRPr="00707C8E">
              <w:rPr>
                <w:b/>
                <w:bCs/>
              </w:rPr>
              <w:t>Fuente:</w:t>
            </w:r>
            <w:r>
              <w:t xml:space="preserve"> Elaboración propia en base a datos de Ministerios de Trabajo</w:t>
            </w:r>
          </w:p>
        </w:tc>
      </w:tr>
    </w:tbl>
    <w:p w14:paraId="138517C8" w14:textId="77777777" w:rsidR="00707C8E" w:rsidRDefault="00707C8E" w:rsidP="00911D02">
      <w:pPr>
        <w:jc w:val="both"/>
        <w:rPr>
          <w:sz w:val="24"/>
        </w:rPr>
      </w:pPr>
    </w:p>
    <w:p w14:paraId="54BE7C0C" w14:textId="77777777" w:rsidR="008F7804" w:rsidRDefault="00900747" w:rsidP="00911D02">
      <w:pPr>
        <w:jc w:val="both"/>
        <w:rPr>
          <w:sz w:val="24"/>
        </w:rPr>
      </w:pPr>
      <w:r>
        <w:rPr>
          <w:sz w:val="24"/>
        </w:rPr>
        <w:t xml:space="preserve">Las dinámicas de empleo </w:t>
      </w:r>
      <w:r w:rsidR="00A3774F">
        <w:rPr>
          <w:sz w:val="24"/>
        </w:rPr>
        <w:t>continúan siendo</w:t>
      </w:r>
      <w:r>
        <w:rPr>
          <w:sz w:val="24"/>
        </w:rPr>
        <w:t xml:space="preserve"> negativas en todos los sectores</w:t>
      </w:r>
      <w:r w:rsidR="00841AD8">
        <w:rPr>
          <w:sz w:val="24"/>
        </w:rPr>
        <w:t xml:space="preserve">, </w:t>
      </w:r>
      <w:r w:rsidR="00CA2AFB">
        <w:rPr>
          <w:sz w:val="24"/>
        </w:rPr>
        <w:t>tanto a nivel interanual como respecto al trimestre anterior</w:t>
      </w:r>
      <w:r w:rsidR="008F7804">
        <w:rPr>
          <w:sz w:val="24"/>
        </w:rPr>
        <w:t>, salvo en el sector de cueros, donde en 2021.T1 se lograron sumar 100 puestos de trabajo, una variación equivalente al 1.32% del total del sector en el trimestre anterior</w:t>
      </w:r>
      <w:r w:rsidR="00FE0271">
        <w:rPr>
          <w:sz w:val="24"/>
        </w:rPr>
        <w:t>.</w:t>
      </w:r>
    </w:p>
    <w:p w14:paraId="4F02F3B6" w14:textId="77777777" w:rsidR="008F7804" w:rsidRDefault="008F7804" w:rsidP="00911D02">
      <w:pPr>
        <w:jc w:val="both"/>
        <w:rPr>
          <w:sz w:val="24"/>
        </w:rPr>
      </w:pPr>
    </w:p>
    <w:p w14:paraId="58D3DB83" w14:textId="77777777" w:rsidR="00911D02" w:rsidRDefault="00911D02" w:rsidP="00911D02">
      <w:pPr>
        <w:pStyle w:val="Ttulo1"/>
      </w:pPr>
      <w:r>
        <w:lastRenderedPageBreak/>
        <w:t>4. Ingresos reales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465169" w14:paraId="336ACD5D" w14:textId="77777777" w:rsidTr="00465A72">
        <w:tc>
          <w:tcPr>
            <w:tcW w:w="8495" w:type="dxa"/>
          </w:tcPr>
          <w:p w14:paraId="67BC0724" w14:textId="21CCCD1C" w:rsidR="00465169" w:rsidRDefault="00465169" w:rsidP="00911D02">
            <w:r w:rsidRPr="00465169">
              <w:rPr>
                <w:b/>
                <w:bCs/>
              </w:rPr>
              <w:t>Gráfico 9.</w:t>
            </w:r>
            <w:r>
              <w:t xml:space="preserve"> Evolución de la base imponible para el sector de curtiembres, inflación y devaluación. 2018.T1 a 202</w:t>
            </w:r>
            <w:r w:rsidR="005574EE">
              <w:t>1.T2</w:t>
            </w:r>
          </w:p>
        </w:tc>
      </w:tr>
      <w:tr w:rsidR="00465169" w14:paraId="19BB9C5C" w14:textId="77777777" w:rsidTr="00465A72">
        <w:tc>
          <w:tcPr>
            <w:tcW w:w="8495" w:type="dxa"/>
          </w:tcPr>
          <w:p w14:paraId="23554819" w14:textId="7ED58B13" w:rsidR="00465169" w:rsidRDefault="005574EE" w:rsidP="005574EE">
            <w:pPr>
              <w:jc w:val="center"/>
            </w:pPr>
            <w:r>
              <w:rPr>
                <w:noProof/>
                <w:lang w:eastAsia="es-MX"/>
              </w:rPr>
              <w:drawing>
                <wp:inline distT="0" distB="0" distL="0" distR="0" wp14:anchorId="0A4E20CD" wp14:editId="4C5548C5">
                  <wp:extent cx="4578350" cy="2749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tc>
      </w:tr>
      <w:tr w:rsidR="00465169" w14:paraId="7D876786" w14:textId="77777777" w:rsidTr="00465A72">
        <w:tc>
          <w:tcPr>
            <w:tcW w:w="8495" w:type="dxa"/>
          </w:tcPr>
          <w:p w14:paraId="4D6A2E84" w14:textId="1EC833B9" w:rsidR="00465169" w:rsidRDefault="00465169" w:rsidP="00911D02">
            <w:r w:rsidRPr="00465169">
              <w:rPr>
                <w:b/>
                <w:bCs/>
              </w:rPr>
              <w:t>Fuente:</w:t>
            </w:r>
            <w:r>
              <w:t xml:space="preserve"> Elaboración propia en base a AGIP, INDEC y BCRA</w:t>
            </w:r>
          </w:p>
        </w:tc>
      </w:tr>
    </w:tbl>
    <w:p w14:paraId="52991F8F" w14:textId="77777777" w:rsidR="00911D02" w:rsidRDefault="00911D02" w:rsidP="00911D02"/>
    <w:p w14:paraId="14539869" w14:textId="375A8CE7" w:rsidR="00911D02" w:rsidRPr="001570F0" w:rsidRDefault="00911D02" w:rsidP="00911D02">
      <w:pPr>
        <w:jc w:val="both"/>
        <w:rPr>
          <w:sz w:val="24"/>
        </w:rPr>
      </w:pPr>
      <w:r w:rsidRPr="001570F0">
        <w:rPr>
          <w:sz w:val="24"/>
          <w:lang w:val="es-AR"/>
        </w:rPr>
        <w:t xml:space="preserve">El gráfico muestra la variación interanual en las declaraciones juradas de Ingresos Brutos para el código </w:t>
      </w:r>
      <w:r w:rsidRPr="001570F0">
        <w:rPr>
          <w:sz w:val="24"/>
        </w:rPr>
        <w:t>Curtido y terminación de cueros; la inflación y el tipo de cambio</w:t>
      </w:r>
      <w:r w:rsidR="00465169">
        <w:rPr>
          <w:sz w:val="24"/>
        </w:rPr>
        <w:t xml:space="preserve"> (OFICIAL + BLUE a partir de 2019.T4)</w:t>
      </w:r>
    </w:p>
    <w:p w14:paraId="5F440B95" w14:textId="55198489" w:rsidR="00A3774F" w:rsidRDefault="005574EE" w:rsidP="00465169">
      <w:pPr>
        <w:jc w:val="both"/>
        <w:rPr>
          <w:sz w:val="24"/>
          <w:lang w:val="es-AR"/>
        </w:rPr>
      </w:pPr>
      <w:r>
        <w:rPr>
          <w:sz w:val="24"/>
          <w:lang w:val="es-AR"/>
        </w:rPr>
        <w:t xml:space="preserve">El segundo trimestre muestra una variación de la base imponible cercana al 300%. Esto solo se explica por la inusual caída de la misma durante 2020.T2, dada la cuarentena. El gráfico también permite ver que la tendencia decreciente en el dólar Blue y alcista en la inflación continuaron durante 2020.T2, lo que habla de un atraso del tipo de cambio, por lo tanto, un alza </w:t>
      </w:r>
      <w:r w:rsidR="0055274C">
        <w:rPr>
          <w:sz w:val="24"/>
          <w:lang w:val="es-AR"/>
        </w:rPr>
        <w:t xml:space="preserve">relativa </w:t>
      </w:r>
      <w:r>
        <w:rPr>
          <w:sz w:val="24"/>
          <w:lang w:val="es-AR"/>
        </w:rPr>
        <w:t xml:space="preserve">de los ingresos dolarizados. </w:t>
      </w:r>
    </w:p>
    <w:p w14:paraId="4A994558" w14:textId="77777777" w:rsidR="00AD702C" w:rsidRDefault="00AD702C" w:rsidP="00465169">
      <w:pPr>
        <w:jc w:val="both"/>
        <w:rPr>
          <w:sz w:val="24"/>
          <w:lang w:val="es-AR"/>
        </w:rPr>
      </w:pPr>
    </w:p>
    <w:p w14:paraId="72FB802B" w14:textId="77777777" w:rsidR="00587172" w:rsidRDefault="00587172" w:rsidP="00465169">
      <w:pPr>
        <w:jc w:val="both"/>
        <w:rPr>
          <w:sz w:val="24"/>
          <w:lang w:val="es-AR"/>
        </w:rPr>
      </w:pPr>
    </w:p>
    <w:p w14:paraId="3570E9E2" w14:textId="77777777" w:rsidR="00587172" w:rsidRDefault="00587172" w:rsidP="00465169">
      <w:pPr>
        <w:jc w:val="both"/>
        <w:rPr>
          <w:sz w:val="24"/>
          <w:lang w:val="es-AR"/>
        </w:rPr>
      </w:pPr>
    </w:p>
    <w:p w14:paraId="47C94B1C" w14:textId="77777777" w:rsidR="00587172" w:rsidRDefault="00587172" w:rsidP="00465169">
      <w:pPr>
        <w:jc w:val="both"/>
        <w:rPr>
          <w:sz w:val="24"/>
          <w:lang w:val="es-AR"/>
        </w:rPr>
      </w:pPr>
    </w:p>
    <w:p w14:paraId="10533A01" w14:textId="77777777" w:rsidR="00587172" w:rsidRDefault="00587172" w:rsidP="00465169">
      <w:pPr>
        <w:jc w:val="both"/>
        <w:rPr>
          <w:sz w:val="24"/>
          <w:lang w:val="es-AR"/>
        </w:rPr>
      </w:pPr>
    </w:p>
    <w:p w14:paraId="63E5011E" w14:textId="77777777" w:rsidR="00587172" w:rsidRDefault="00587172" w:rsidP="00465169">
      <w:pPr>
        <w:jc w:val="both"/>
        <w:rPr>
          <w:sz w:val="24"/>
          <w:lang w:val="es-AR"/>
        </w:rPr>
      </w:pPr>
    </w:p>
    <w:p w14:paraId="6368C40C" w14:textId="77777777" w:rsidR="00587172" w:rsidRDefault="00587172" w:rsidP="00465169">
      <w:pPr>
        <w:jc w:val="both"/>
        <w:rPr>
          <w:sz w:val="24"/>
          <w:lang w:val="es-AR"/>
        </w:rPr>
      </w:pPr>
    </w:p>
    <w:p w14:paraId="4535ECA1" w14:textId="77777777" w:rsidR="00587172" w:rsidRDefault="00587172" w:rsidP="00465169">
      <w:pPr>
        <w:jc w:val="both"/>
        <w:rPr>
          <w:sz w:val="24"/>
          <w:lang w:val="es-AR"/>
        </w:rPr>
      </w:pPr>
    </w:p>
    <w:p w14:paraId="40C3C863" w14:textId="77777777" w:rsidR="00587172" w:rsidRDefault="00587172" w:rsidP="00465169">
      <w:pPr>
        <w:jc w:val="both"/>
        <w:rPr>
          <w:sz w:val="24"/>
          <w:lang w:val="es-AR"/>
        </w:rPr>
      </w:pPr>
    </w:p>
    <w:p w14:paraId="31EB4705" w14:textId="77777777" w:rsidR="00587172" w:rsidRDefault="00587172" w:rsidP="00465169">
      <w:pPr>
        <w:jc w:val="both"/>
        <w:rPr>
          <w:sz w:val="24"/>
          <w:lang w:val="es-AR"/>
        </w:rPr>
      </w:pPr>
    </w:p>
    <w:p w14:paraId="2A10687A" w14:textId="77777777" w:rsidR="00587172" w:rsidRDefault="00587172" w:rsidP="00465169">
      <w:pPr>
        <w:jc w:val="both"/>
        <w:rPr>
          <w:sz w:val="24"/>
          <w:lang w:val="es-AR"/>
        </w:rPr>
      </w:pPr>
    </w:p>
    <w:p w14:paraId="5284EC1B" w14:textId="77777777" w:rsidR="00587172" w:rsidRDefault="00587172" w:rsidP="00465169">
      <w:pPr>
        <w:jc w:val="both"/>
        <w:rPr>
          <w:sz w:val="24"/>
          <w:lang w:val="es-AR"/>
        </w:rPr>
      </w:pPr>
    </w:p>
    <w:p w14:paraId="7E5EF130" w14:textId="3F5C9EBA" w:rsidR="00911D02" w:rsidRDefault="00911D02" w:rsidP="00911D02">
      <w:pPr>
        <w:pStyle w:val="Ttulo1"/>
      </w:pPr>
      <w:r>
        <w:t>Apartado metodológico</w:t>
      </w:r>
    </w:p>
    <w:p w14:paraId="1B57CA42" w14:textId="77777777" w:rsidR="00911D02" w:rsidRDefault="00911D02" w:rsidP="00911D02"/>
    <w:p w14:paraId="11F6F75C" w14:textId="77777777" w:rsidR="00911D02" w:rsidRPr="001570F0" w:rsidRDefault="00911D02" w:rsidP="00911D02">
      <w:pPr>
        <w:pStyle w:val="Prrafodelista"/>
        <w:numPr>
          <w:ilvl w:val="0"/>
          <w:numId w:val="2"/>
        </w:numPr>
        <w:jc w:val="both"/>
        <w:rPr>
          <w:sz w:val="24"/>
        </w:rPr>
      </w:pPr>
      <w:r w:rsidRPr="001570F0">
        <w:rPr>
          <w:sz w:val="24"/>
        </w:rPr>
        <w:t>Faena, fuente IPCVA</w:t>
      </w:r>
      <w:r>
        <w:rPr>
          <w:sz w:val="24"/>
        </w:rPr>
        <w:t xml:space="preserve">. </w:t>
      </w:r>
      <w:r w:rsidRPr="001570F0">
        <w:rPr>
          <w:i/>
          <w:sz w:val="24"/>
        </w:rPr>
        <w:t>Suma de faena mensual de novillo, novillito, toros, vacas, vaquillonas, terneros y terneras</w:t>
      </w:r>
    </w:p>
    <w:p w14:paraId="4A7C2C6F" w14:textId="20F93C05" w:rsidR="00911D02" w:rsidRPr="00A17F6C" w:rsidRDefault="00911D02" w:rsidP="00911D02">
      <w:pPr>
        <w:pStyle w:val="Prrafodelista"/>
        <w:numPr>
          <w:ilvl w:val="0"/>
          <w:numId w:val="2"/>
        </w:numPr>
        <w:jc w:val="both"/>
        <w:rPr>
          <w:i/>
          <w:sz w:val="24"/>
        </w:rPr>
      </w:pPr>
      <w:r w:rsidRPr="001570F0">
        <w:rPr>
          <w:sz w:val="24"/>
        </w:rPr>
        <w:t>Precios, fuente Secretar</w:t>
      </w:r>
      <w:r w:rsidR="0024112E">
        <w:rPr>
          <w:sz w:val="24"/>
        </w:rPr>
        <w:t>í</w:t>
      </w:r>
      <w:r w:rsidRPr="001570F0">
        <w:rPr>
          <w:sz w:val="24"/>
        </w:rPr>
        <w:t>a de agricultura, ganadería y pesca de la Nación</w:t>
      </w:r>
      <w:r>
        <w:rPr>
          <w:sz w:val="24"/>
        </w:rPr>
        <w:t xml:space="preserve">. Informes de Subproductos, cueros, sebos y expellers. </w:t>
      </w:r>
      <w:r w:rsidRPr="00A17F6C">
        <w:rPr>
          <w:i/>
          <w:sz w:val="24"/>
        </w:rPr>
        <w:t>Promedio del precio mensual.</w:t>
      </w:r>
    </w:p>
    <w:p w14:paraId="18C17804" w14:textId="77777777" w:rsidR="00911D02" w:rsidRPr="001570F0" w:rsidRDefault="00911D02" w:rsidP="00911D02">
      <w:pPr>
        <w:pStyle w:val="Prrafodelista"/>
        <w:numPr>
          <w:ilvl w:val="0"/>
          <w:numId w:val="2"/>
        </w:numPr>
        <w:jc w:val="both"/>
        <w:rPr>
          <w:sz w:val="24"/>
        </w:rPr>
      </w:pPr>
      <w:r w:rsidRPr="001570F0">
        <w:rPr>
          <w:sz w:val="24"/>
        </w:rPr>
        <w:t>Exportaciones, fuente INDEC</w:t>
      </w:r>
      <w:r>
        <w:rPr>
          <w:sz w:val="24"/>
        </w:rPr>
        <w:t xml:space="preserve">. </w:t>
      </w:r>
      <w:r w:rsidRPr="00A17F6C">
        <w:rPr>
          <w:i/>
          <w:sz w:val="24"/>
        </w:rPr>
        <w:t>Suma de exportaciones mensual</w:t>
      </w:r>
    </w:p>
    <w:p w14:paraId="5125F530" w14:textId="77777777" w:rsidR="00911D02" w:rsidRPr="001570F0" w:rsidRDefault="00911D02" w:rsidP="00911D02">
      <w:pPr>
        <w:pStyle w:val="Prrafodelista"/>
        <w:numPr>
          <w:ilvl w:val="0"/>
          <w:numId w:val="2"/>
        </w:numPr>
        <w:jc w:val="both"/>
        <w:rPr>
          <w:sz w:val="24"/>
        </w:rPr>
      </w:pPr>
      <w:r w:rsidRPr="001570F0">
        <w:rPr>
          <w:sz w:val="24"/>
        </w:rPr>
        <w:t>Producción automotriz, fuente</w:t>
      </w:r>
      <w:r>
        <w:rPr>
          <w:sz w:val="24"/>
        </w:rPr>
        <w:t xml:space="preserve"> ADEFA. </w:t>
      </w:r>
      <w:r w:rsidRPr="00A17F6C">
        <w:rPr>
          <w:i/>
          <w:sz w:val="24"/>
        </w:rPr>
        <w:t xml:space="preserve">Suma de </w:t>
      </w:r>
      <w:r>
        <w:rPr>
          <w:i/>
          <w:sz w:val="24"/>
        </w:rPr>
        <w:t>producción</w:t>
      </w:r>
      <w:r w:rsidRPr="00A17F6C">
        <w:rPr>
          <w:i/>
          <w:sz w:val="24"/>
        </w:rPr>
        <w:t xml:space="preserve"> mensual</w:t>
      </w:r>
    </w:p>
    <w:p w14:paraId="383C1412" w14:textId="77777777" w:rsidR="00911D02" w:rsidRPr="00A17F6C" w:rsidRDefault="00911D02" w:rsidP="00911D02">
      <w:pPr>
        <w:pStyle w:val="Prrafodelista"/>
        <w:numPr>
          <w:ilvl w:val="0"/>
          <w:numId w:val="2"/>
        </w:numPr>
        <w:jc w:val="both"/>
        <w:rPr>
          <w:i/>
          <w:sz w:val="24"/>
        </w:rPr>
      </w:pPr>
      <w:r w:rsidRPr="001570F0">
        <w:rPr>
          <w:sz w:val="24"/>
        </w:rPr>
        <w:t>Sector calzado, fuente</w:t>
      </w:r>
      <w:r>
        <w:rPr>
          <w:sz w:val="24"/>
        </w:rPr>
        <w:t xml:space="preserve"> CAME</w:t>
      </w:r>
      <w:r w:rsidRPr="00A17F6C">
        <w:rPr>
          <w:i/>
          <w:sz w:val="24"/>
        </w:rPr>
        <w:t>. Relevamiento de la Confederación Argentina de la Mediana Empresa</w:t>
      </w:r>
    </w:p>
    <w:p w14:paraId="73DAC403" w14:textId="77777777" w:rsidR="00911D02" w:rsidRPr="00A17F6C" w:rsidRDefault="00911D02" w:rsidP="00911D02">
      <w:pPr>
        <w:pStyle w:val="Prrafodelista"/>
        <w:numPr>
          <w:ilvl w:val="0"/>
          <w:numId w:val="2"/>
        </w:numPr>
        <w:jc w:val="both"/>
        <w:rPr>
          <w:i/>
          <w:sz w:val="24"/>
        </w:rPr>
      </w:pPr>
      <w:r w:rsidRPr="001570F0">
        <w:rPr>
          <w:sz w:val="24"/>
        </w:rPr>
        <w:t>Empleo, fuente Ministerio de Producción y Trabajo</w:t>
      </w:r>
      <w:r>
        <w:rPr>
          <w:sz w:val="24"/>
        </w:rPr>
        <w:t xml:space="preserve">. OEDE. </w:t>
      </w:r>
      <w:r w:rsidRPr="00A17F6C">
        <w:rPr>
          <w:i/>
          <w:sz w:val="24"/>
        </w:rPr>
        <w:t xml:space="preserve">Caracterización y evolución del empleo registrado, serie trimestral. </w:t>
      </w:r>
    </w:p>
    <w:p w14:paraId="2A9EA040" w14:textId="567B7AF5" w:rsidR="00911D02" w:rsidRPr="001100D5" w:rsidRDefault="00911D02" w:rsidP="00911D02">
      <w:pPr>
        <w:pStyle w:val="Prrafodelista"/>
        <w:numPr>
          <w:ilvl w:val="0"/>
          <w:numId w:val="2"/>
        </w:numPr>
        <w:jc w:val="both"/>
      </w:pPr>
      <w:r w:rsidRPr="001100D5">
        <w:rPr>
          <w:sz w:val="24"/>
        </w:rPr>
        <w:t>Ingresos reales, fuente A</w:t>
      </w:r>
      <w:r w:rsidR="008F6574">
        <w:rPr>
          <w:sz w:val="24"/>
        </w:rPr>
        <w:t>G</w:t>
      </w:r>
      <w:r w:rsidRPr="001100D5">
        <w:rPr>
          <w:sz w:val="24"/>
        </w:rPr>
        <w:t xml:space="preserve">IP. </w:t>
      </w:r>
      <w:r w:rsidRPr="001100D5">
        <w:rPr>
          <w:i/>
          <w:sz w:val="24"/>
        </w:rPr>
        <w:t xml:space="preserve">Suma de DDJJ mensuales, tipo </w:t>
      </w:r>
      <w:r>
        <w:rPr>
          <w:i/>
          <w:sz w:val="24"/>
        </w:rPr>
        <w:t>de cambio BCRA e inflación INDEC</w:t>
      </w:r>
    </w:p>
    <w:p w14:paraId="22768627" w14:textId="77777777" w:rsidR="00925F7D" w:rsidRDefault="00F740F5"/>
    <w:sectPr w:rsidR="00925F7D" w:rsidSect="00293E43">
      <w:type w:val="continuous"/>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94CFF" w14:textId="77777777" w:rsidR="00F740F5" w:rsidRDefault="00F740F5" w:rsidP="00911D02">
      <w:pPr>
        <w:spacing w:after="0" w:line="240" w:lineRule="auto"/>
      </w:pPr>
      <w:r>
        <w:separator/>
      </w:r>
    </w:p>
  </w:endnote>
  <w:endnote w:type="continuationSeparator" w:id="0">
    <w:p w14:paraId="2598431D" w14:textId="77777777" w:rsidR="00F740F5" w:rsidRDefault="00F740F5" w:rsidP="0091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36C57" w14:textId="5B3F87B6" w:rsidR="00450AD9" w:rsidRDefault="00450AD9">
    <w:pPr>
      <w:pStyle w:val="Piedepgina"/>
    </w:pPr>
  </w:p>
  <w:p w14:paraId="7AC025F6" w14:textId="2F463BBE" w:rsidR="000E4708" w:rsidRDefault="00293E43" w:rsidP="00A77B37">
    <w:pPr>
      <w:pStyle w:val="Piedepgina"/>
      <w:tabs>
        <w:tab w:val="clear" w:pos="4419"/>
        <w:tab w:val="clear" w:pos="8838"/>
        <w:tab w:val="left" w:pos="6510"/>
      </w:tabs>
    </w:pPr>
    <w:r>
      <w:rPr>
        <w:noProof/>
        <w:lang w:eastAsia="es-MX"/>
      </w:rPr>
      <w:drawing>
        <wp:anchor distT="0" distB="0" distL="114300" distR="114300" simplePos="0" relativeHeight="251662336" behindDoc="1" locked="0" layoutInCell="1" allowOverlap="1" wp14:anchorId="7CC189B2" wp14:editId="06EBE805">
          <wp:simplePos x="0" y="0"/>
          <wp:positionH relativeFrom="page">
            <wp:posOffset>-79375</wp:posOffset>
          </wp:positionH>
          <wp:positionV relativeFrom="bottomMargin">
            <wp:posOffset>504825</wp:posOffset>
          </wp:positionV>
          <wp:extent cx="8566150" cy="908602"/>
          <wp:effectExtent l="0" t="0" r="0"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S membretadas color -pie_a4_a4.jpg"/>
                  <pic:cNvPicPr/>
                </pic:nvPicPr>
                <pic:blipFill>
                  <a:blip r:embed="rId1">
                    <a:extLst>
                      <a:ext uri="{28A0092B-C50C-407E-A947-70E740481C1C}">
                        <a14:useLocalDpi xmlns:a14="http://schemas.microsoft.com/office/drawing/2010/main" val="0"/>
                      </a:ext>
                    </a:extLst>
                  </a:blip>
                  <a:stretch>
                    <a:fillRect/>
                  </a:stretch>
                </pic:blipFill>
                <pic:spPr>
                  <a:xfrm>
                    <a:off x="0" y="0"/>
                    <a:ext cx="8566150" cy="9086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65D89" w14:textId="77777777" w:rsidR="00F740F5" w:rsidRDefault="00F740F5" w:rsidP="00911D02">
      <w:pPr>
        <w:spacing w:after="0" w:line="240" w:lineRule="auto"/>
      </w:pPr>
      <w:r>
        <w:separator/>
      </w:r>
    </w:p>
  </w:footnote>
  <w:footnote w:type="continuationSeparator" w:id="0">
    <w:p w14:paraId="4FBEB6AC" w14:textId="77777777" w:rsidR="00F740F5" w:rsidRDefault="00F740F5" w:rsidP="00911D02">
      <w:pPr>
        <w:spacing w:after="0" w:line="240" w:lineRule="auto"/>
      </w:pPr>
      <w:r>
        <w:continuationSeparator/>
      </w:r>
    </w:p>
  </w:footnote>
  <w:footnote w:id="1">
    <w:p w14:paraId="01A8C75D" w14:textId="08026634" w:rsidR="00293E43" w:rsidRPr="00293E43" w:rsidRDefault="00293E43">
      <w:pPr>
        <w:pStyle w:val="Textonotapie"/>
        <w:rPr>
          <w:lang w:val="es-AR"/>
        </w:rPr>
      </w:pPr>
      <w:r w:rsidRPr="00D10F59">
        <w:rPr>
          <w:rStyle w:val="Refdenotaalpie"/>
        </w:rPr>
        <w:footnoteRef/>
      </w:r>
      <w:r w:rsidRPr="00D10F59">
        <w:t xml:space="preserve"> </w:t>
      </w:r>
      <w:r w:rsidRPr="00D10F59">
        <w:rPr>
          <w:lang w:val="es-AR"/>
        </w:rPr>
        <w:t>Los datos faltantes entre 2019.IV y 2020.III se deben a que durante ese período, el Ministerio de Agricultura, ganadería y pesca no publicó dicha información.</w:t>
      </w:r>
      <w:r>
        <w:rPr>
          <w:lang w:val="es-A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B0D04" w14:textId="77777777" w:rsidR="000E4708" w:rsidRDefault="00F004D2">
    <w:pPr>
      <w:pStyle w:val="Encabezado"/>
    </w:pPr>
    <w:r>
      <w:rPr>
        <w:noProof/>
        <w:lang w:eastAsia="es-MX"/>
      </w:rPr>
      <w:drawing>
        <wp:anchor distT="0" distB="0" distL="114300" distR="114300" simplePos="0" relativeHeight="251659264" behindDoc="1" locked="0" layoutInCell="1" allowOverlap="1" wp14:anchorId="7B20F6F8" wp14:editId="3AAF93B0">
          <wp:simplePos x="0" y="0"/>
          <wp:positionH relativeFrom="margin">
            <wp:posOffset>-1489710</wp:posOffset>
          </wp:positionH>
          <wp:positionV relativeFrom="margin">
            <wp:posOffset>-871221</wp:posOffset>
          </wp:positionV>
          <wp:extent cx="8548402" cy="14382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S membretadas color - encabezado_a4.jpg"/>
                  <pic:cNvPicPr/>
                </pic:nvPicPr>
                <pic:blipFill>
                  <a:blip r:embed="rId1">
                    <a:extLst>
                      <a:ext uri="{28A0092B-C50C-407E-A947-70E740481C1C}">
                        <a14:useLocalDpi xmlns:a14="http://schemas.microsoft.com/office/drawing/2010/main" val="0"/>
                      </a:ext>
                    </a:extLst>
                  </a:blip>
                  <a:stretch>
                    <a:fillRect/>
                  </a:stretch>
                </pic:blipFill>
                <pic:spPr>
                  <a:xfrm>
                    <a:off x="0" y="0"/>
                    <a:ext cx="8602637" cy="1447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73C3" w14:textId="77777777" w:rsidR="002148A6" w:rsidRDefault="00F740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9C2"/>
    <w:multiLevelType w:val="hybridMultilevel"/>
    <w:tmpl w:val="D0643F2A"/>
    <w:lvl w:ilvl="0" w:tplc="8332A5A0">
      <w:start w:val="1"/>
      <w:numFmt w:val="bullet"/>
      <w:lvlText w:val=""/>
      <w:lvlJc w:val="left"/>
      <w:pPr>
        <w:tabs>
          <w:tab w:val="num" w:pos="720"/>
        </w:tabs>
        <w:ind w:left="720" w:hanging="360"/>
      </w:pPr>
      <w:rPr>
        <w:rFonts w:ascii="Wingdings 3" w:hAnsi="Wingdings 3" w:hint="default"/>
      </w:rPr>
    </w:lvl>
    <w:lvl w:ilvl="1" w:tplc="7D687C06" w:tentative="1">
      <w:start w:val="1"/>
      <w:numFmt w:val="bullet"/>
      <w:lvlText w:val=""/>
      <w:lvlJc w:val="left"/>
      <w:pPr>
        <w:tabs>
          <w:tab w:val="num" w:pos="1440"/>
        </w:tabs>
        <w:ind w:left="1440" w:hanging="360"/>
      </w:pPr>
      <w:rPr>
        <w:rFonts w:ascii="Wingdings 3" w:hAnsi="Wingdings 3" w:hint="default"/>
      </w:rPr>
    </w:lvl>
    <w:lvl w:ilvl="2" w:tplc="6AEC71EA" w:tentative="1">
      <w:start w:val="1"/>
      <w:numFmt w:val="bullet"/>
      <w:lvlText w:val=""/>
      <w:lvlJc w:val="left"/>
      <w:pPr>
        <w:tabs>
          <w:tab w:val="num" w:pos="2160"/>
        </w:tabs>
        <w:ind w:left="2160" w:hanging="360"/>
      </w:pPr>
      <w:rPr>
        <w:rFonts w:ascii="Wingdings 3" w:hAnsi="Wingdings 3" w:hint="default"/>
      </w:rPr>
    </w:lvl>
    <w:lvl w:ilvl="3" w:tplc="C18819D0" w:tentative="1">
      <w:start w:val="1"/>
      <w:numFmt w:val="bullet"/>
      <w:lvlText w:val=""/>
      <w:lvlJc w:val="left"/>
      <w:pPr>
        <w:tabs>
          <w:tab w:val="num" w:pos="2880"/>
        </w:tabs>
        <w:ind w:left="2880" w:hanging="360"/>
      </w:pPr>
      <w:rPr>
        <w:rFonts w:ascii="Wingdings 3" w:hAnsi="Wingdings 3" w:hint="default"/>
      </w:rPr>
    </w:lvl>
    <w:lvl w:ilvl="4" w:tplc="96C47F6C" w:tentative="1">
      <w:start w:val="1"/>
      <w:numFmt w:val="bullet"/>
      <w:lvlText w:val=""/>
      <w:lvlJc w:val="left"/>
      <w:pPr>
        <w:tabs>
          <w:tab w:val="num" w:pos="3600"/>
        </w:tabs>
        <w:ind w:left="3600" w:hanging="360"/>
      </w:pPr>
      <w:rPr>
        <w:rFonts w:ascii="Wingdings 3" w:hAnsi="Wingdings 3" w:hint="default"/>
      </w:rPr>
    </w:lvl>
    <w:lvl w:ilvl="5" w:tplc="E3B093F2" w:tentative="1">
      <w:start w:val="1"/>
      <w:numFmt w:val="bullet"/>
      <w:lvlText w:val=""/>
      <w:lvlJc w:val="left"/>
      <w:pPr>
        <w:tabs>
          <w:tab w:val="num" w:pos="4320"/>
        </w:tabs>
        <w:ind w:left="4320" w:hanging="360"/>
      </w:pPr>
      <w:rPr>
        <w:rFonts w:ascii="Wingdings 3" w:hAnsi="Wingdings 3" w:hint="default"/>
      </w:rPr>
    </w:lvl>
    <w:lvl w:ilvl="6" w:tplc="4BA2F3C4" w:tentative="1">
      <w:start w:val="1"/>
      <w:numFmt w:val="bullet"/>
      <w:lvlText w:val=""/>
      <w:lvlJc w:val="left"/>
      <w:pPr>
        <w:tabs>
          <w:tab w:val="num" w:pos="5040"/>
        </w:tabs>
        <w:ind w:left="5040" w:hanging="360"/>
      </w:pPr>
      <w:rPr>
        <w:rFonts w:ascii="Wingdings 3" w:hAnsi="Wingdings 3" w:hint="default"/>
      </w:rPr>
    </w:lvl>
    <w:lvl w:ilvl="7" w:tplc="384C4A88" w:tentative="1">
      <w:start w:val="1"/>
      <w:numFmt w:val="bullet"/>
      <w:lvlText w:val=""/>
      <w:lvlJc w:val="left"/>
      <w:pPr>
        <w:tabs>
          <w:tab w:val="num" w:pos="5760"/>
        </w:tabs>
        <w:ind w:left="5760" w:hanging="360"/>
      </w:pPr>
      <w:rPr>
        <w:rFonts w:ascii="Wingdings 3" w:hAnsi="Wingdings 3" w:hint="default"/>
      </w:rPr>
    </w:lvl>
    <w:lvl w:ilvl="8" w:tplc="DAF2121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1FE1F86"/>
    <w:multiLevelType w:val="hybridMultilevel"/>
    <w:tmpl w:val="05144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9C7BBD"/>
    <w:multiLevelType w:val="hybridMultilevel"/>
    <w:tmpl w:val="1E143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702F10"/>
    <w:multiLevelType w:val="hybridMultilevel"/>
    <w:tmpl w:val="73B6A1FE"/>
    <w:lvl w:ilvl="0" w:tplc="290E4962">
      <w:start w:val="1"/>
      <w:numFmt w:val="bullet"/>
      <w:lvlText w:val=""/>
      <w:lvlJc w:val="left"/>
      <w:pPr>
        <w:tabs>
          <w:tab w:val="num" w:pos="720"/>
        </w:tabs>
        <w:ind w:left="720" w:hanging="360"/>
      </w:pPr>
      <w:rPr>
        <w:rFonts w:ascii="Wingdings 3" w:hAnsi="Wingdings 3" w:hint="default"/>
      </w:rPr>
    </w:lvl>
    <w:lvl w:ilvl="1" w:tplc="B232B4E4" w:tentative="1">
      <w:start w:val="1"/>
      <w:numFmt w:val="bullet"/>
      <w:lvlText w:val=""/>
      <w:lvlJc w:val="left"/>
      <w:pPr>
        <w:tabs>
          <w:tab w:val="num" w:pos="1440"/>
        </w:tabs>
        <w:ind w:left="1440" w:hanging="360"/>
      </w:pPr>
      <w:rPr>
        <w:rFonts w:ascii="Wingdings 3" w:hAnsi="Wingdings 3" w:hint="default"/>
      </w:rPr>
    </w:lvl>
    <w:lvl w:ilvl="2" w:tplc="34A04ED8" w:tentative="1">
      <w:start w:val="1"/>
      <w:numFmt w:val="bullet"/>
      <w:lvlText w:val=""/>
      <w:lvlJc w:val="left"/>
      <w:pPr>
        <w:tabs>
          <w:tab w:val="num" w:pos="2160"/>
        </w:tabs>
        <w:ind w:left="2160" w:hanging="360"/>
      </w:pPr>
      <w:rPr>
        <w:rFonts w:ascii="Wingdings 3" w:hAnsi="Wingdings 3" w:hint="default"/>
      </w:rPr>
    </w:lvl>
    <w:lvl w:ilvl="3" w:tplc="2CDE8848" w:tentative="1">
      <w:start w:val="1"/>
      <w:numFmt w:val="bullet"/>
      <w:lvlText w:val=""/>
      <w:lvlJc w:val="left"/>
      <w:pPr>
        <w:tabs>
          <w:tab w:val="num" w:pos="2880"/>
        </w:tabs>
        <w:ind w:left="2880" w:hanging="360"/>
      </w:pPr>
      <w:rPr>
        <w:rFonts w:ascii="Wingdings 3" w:hAnsi="Wingdings 3" w:hint="default"/>
      </w:rPr>
    </w:lvl>
    <w:lvl w:ilvl="4" w:tplc="CBC4B37E" w:tentative="1">
      <w:start w:val="1"/>
      <w:numFmt w:val="bullet"/>
      <w:lvlText w:val=""/>
      <w:lvlJc w:val="left"/>
      <w:pPr>
        <w:tabs>
          <w:tab w:val="num" w:pos="3600"/>
        </w:tabs>
        <w:ind w:left="3600" w:hanging="360"/>
      </w:pPr>
      <w:rPr>
        <w:rFonts w:ascii="Wingdings 3" w:hAnsi="Wingdings 3" w:hint="default"/>
      </w:rPr>
    </w:lvl>
    <w:lvl w:ilvl="5" w:tplc="72D0145E" w:tentative="1">
      <w:start w:val="1"/>
      <w:numFmt w:val="bullet"/>
      <w:lvlText w:val=""/>
      <w:lvlJc w:val="left"/>
      <w:pPr>
        <w:tabs>
          <w:tab w:val="num" w:pos="4320"/>
        </w:tabs>
        <w:ind w:left="4320" w:hanging="360"/>
      </w:pPr>
      <w:rPr>
        <w:rFonts w:ascii="Wingdings 3" w:hAnsi="Wingdings 3" w:hint="default"/>
      </w:rPr>
    </w:lvl>
    <w:lvl w:ilvl="6" w:tplc="A4168D52" w:tentative="1">
      <w:start w:val="1"/>
      <w:numFmt w:val="bullet"/>
      <w:lvlText w:val=""/>
      <w:lvlJc w:val="left"/>
      <w:pPr>
        <w:tabs>
          <w:tab w:val="num" w:pos="5040"/>
        </w:tabs>
        <w:ind w:left="5040" w:hanging="360"/>
      </w:pPr>
      <w:rPr>
        <w:rFonts w:ascii="Wingdings 3" w:hAnsi="Wingdings 3" w:hint="default"/>
      </w:rPr>
    </w:lvl>
    <w:lvl w:ilvl="7" w:tplc="F2B4718A" w:tentative="1">
      <w:start w:val="1"/>
      <w:numFmt w:val="bullet"/>
      <w:lvlText w:val=""/>
      <w:lvlJc w:val="left"/>
      <w:pPr>
        <w:tabs>
          <w:tab w:val="num" w:pos="5760"/>
        </w:tabs>
        <w:ind w:left="5760" w:hanging="360"/>
      </w:pPr>
      <w:rPr>
        <w:rFonts w:ascii="Wingdings 3" w:hAnsi="Wingdings 3" w:hint="default"/>
      </w:rPr>
    </w:lvl>
    <w:lvl w:ilvl="8" w:tplc="48D456E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4551941"/>
    <w:multiLevelType w:val="hybridMultilevel"/>
    <w:tmpl w:val="F5F2F6CC"/>
    <w:lvl w:ilvl="0" w:tplc="71F2D2EE">
      <w:start w:val="1"/>
      <w:numFmt w:val="bullet"/>
      <w:lvlText w:val=""/>
      <w:lvlJc w:val="left"/>
      <w:pPr>
        <w:tabs>
          <w:tab w:val="num" w:pos="720"/>
        </w:tabs>
        <w:ind w:left="720" w:hanging="360"/>
      </w:pPr>
      <w:rPr>
        <w:rFonts w:ascii="Wingdings 3" w:hAnsi="Wingdings 3" w:hint="default"/>
      </w:rPr>
    </w:lvl>
    <w:lvl w:ilvl="1" w:tplc="92A448AC" w:tentative="1">
      <w:start w:val="1"/>
      <w:numFmt w:val="bullet"/>
      <w:lvlText w:val=""/>
      <w:lvlJc w:val="left"/>
      <w:pPr>
        <w:tabs>
          <w:tab w:val="num" w:pos="1440"/>
        </w:tabs>
        <w:ind w:left="1440" w:hanging="360"/>
      </w:pPr>
      <w:rPr>
        <w:rFonts w:ascii="Wingdings 3" w:hAnsi="Wingdings 3" w:hint="default"/>
      </w:rPr>
    </w:lvl>
    <w:lvl w:ilvl="2" w:tplc="562C697C" w:tentative="1">
      <w:start w:val="1"/>
      <w:numFmt w:val="bullet"/>
      <w:lvlText w:val=""/>
      <w:lvlJc w:val="left"/>
      <w:pPr>
        <w:tabs>
          <w:tab w:val="num" w:pos="2160"/>
        </w:tabs>
        <w:ind w:left="2160" w:hanging="360"/>
      </w:pPr>
      <w:rPr>
        <w:rFonts w:ascii="Wingdings 3" w:hAnsi="Wingdings 3" w:hint="default"/>
      </w:rPr>
    </w:lvl>
    <w:lvl w:ilvl="3" w:tplc="2944631E" w:tentative="1">
      <w:start w:val="1"/>
      <w:numFmt w:val="bullet"/>
      <w:lvlText w:val=""/>
      <w:lvlJc w:val="left"/>
      <w:pPr>
        <w:tabs>
          <w:tab w:val="num" w:pos="2880"/>
        </w:tabs>
        <w:ind w:left="2880" w:hanging="360"/>
      </w:pPr>
      <w:rPr>
        <w:rFonts w:ascii="Wingdings 3" w:hAnsi="Wingdings 3" w:hint="default"/>
      </w:rPr>
    </w:lvl>
    <w:lvl w:ilvl="4" w:tplc="08F4BA62" w:tentative="1">
      <w:start w:val="1"/>
      <w:numFmt w:val="bullet"/>
      <w:lvlText w:val=""/>
      <w:lvlJc w:val="left"/>
      <w:pPr>
        <w:tabs>
          <w:tab w:val="num" w:pos="3600"/>
        </w:tabs>
        <w:ind w:left="3600" w:hanging="360"/>
      </w:pPr>
      <w:rPr>
        <w:rFonts w:ascii="Wingdings 3" w:hAnsi="Wingdings 3" w:hint="default"/>
      </w:rPr>
    </w:lvl>
    <w:lvl w:ilvl="5" w:tplc="CAD4E41E" w:tentative="1">
      <w:start w:val="1"/>
      <w:numFmt w:val="bullet"/>
      <w:lvlText w:val=""/>
      <w:lvlJc w:val="left"/>
      <w:pPr>
        <w:tabs>
          <w:tab w:val="num" w:pos="4320"/>
        </w:tabs>
        <w:ind w:left="4320" w:hanging="360"/>
      </w:pPr>
      <w:rPr>
        <w:rFonts w:ascii="Wingdings 3" w:hAnsi="Wingdings 3" w:hint="default"/>
      </w:rPr>
    </w:lvl>
    <w:lvl w:ilvl="6" w:tplc="F162EACE" w:tentative="1">
      <w:start w:val="1"/>
      <w:numFmt w:val="bullet"/>
      <w:lvlText w:val=""/>
      <w:lvlJc w:val="left"/>
      <w:pPr>
        <w:tabs>
          <w:tab w:val="num" w:pos="5040"/>
        </w:tabs>
        <w:ind w:left="5040" w:hanging="360"/>
      </w:pPr>
      <w:rPr>
        <w:rFonts w:ascii="Wingdings 3" w:hAnsi="Wingdings 3" w:hint="default"/>
      </w:rPr>
    </w:lvl>
    <w:lvl w:ilvl="7" w:tplc="64AA5B34" w:tentative="1">
      <w:start w:val="1"/>
      <w:numFmt w:val="bullet"/>
      <w:lvlText w:val=""/>
      <w:lvlJc w:val="left"/>
      <w:pPr>
        <w:tabs>
          <w:tab w:val="num" w:pos="5760"/>
        </w:tabs>
        <w:ind w:left="5760" w:hanging="360"/>
      </w:pPr>
      <w:rPr>
        <w:rFonts w:ascii="Wingdings 3" w:hAnsi="Wingdings 3" w:hint="default"/>
      </w:rPr>
    </w:lvl>
    <w:lvl w:ilvl="8" w:tplc="6DA6F2C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C9A4929"/>
    <w:multiLevelType w:val="hybridMultilevel"/>
    <w:tmpl w:val="CEB486A2"/>
    <w:lvl w:ilvl="0" w:tplc="5C20B500">
      <w:start w:val="1"/>
      <w:numFmt w:val="bullet"/>
      <w:lvlText w:val="•"/>
      <w:lvlJc w:val="left"/>
      <w:pPr>
        <w:tabs>
          <w:tab w:val="num" w:pos="720"/>
        </w:tabs>
        <w:ind w:left="720" w:hanging="360"/>
      </w:pPr>
      <w:rPr>
        <w:rFonts w:ascii="Arial" w:hAnsi="Arial" w:hint="default"/>
      </w:rPr>
    </w:lvl>
    <w:lvl w:ilvl="1" w:tplc="37ECCA3C" w:tentative="1">
      <w:start w:val="1"/>
      <w:numFmt w:val="bullet"/>
      <w:lvlText w:val="•"/>
      <w:lvlJc w:val="left"/>
      <w:pPr>
        <w:tabs>
          <w:tab w:val="num" w:pos="1440"/>
        </w:tabs>
        <w:ind w:left="1440" w:hanging="360"/>
      </w:pPr>
      <w:rPr>
        <w:rFonts w:ascii="Arial" w:hAnsi="Arial" w:hint="default"/>
      </w:rPr>
    </w:lvl>
    <w:lvl w:ilvl="2" w:tplc="17D0E89C" w:tentative="1">
      <w:start w:val="1"/>
      <w:numFmt w:val="bullet"/>
      <w:lvlText w:val="•"/>
      <w:lvlJc w:val="left"/>
      <w:pPr>
        <w:tabs>
          <w:tab w:val="num" w:pos="2160"/>
        </w:tabs>
        <w:ind w:left="2160" w:hanging="360"/>
      </w:pPr>
      <w:rPr>
        <w:rFonts w:ascii="Arial" w:hAnsi="Arial" w:hint="default"/>
      </w:rPr>
    </w:lvl>
    <w:lvl w:ilvl="3" w:tplc="68B69D4C" w:tentative="1">
      <w:start w:val="1"/>
      <w:numFmt w:val="bullet"/>
      <w:lvlText w:val="•"/>
      <w:lvlJc w:val="left"/>
      <w:pPr>
        <w:tabs>
          <w:tab w:val="num" w:pos="2880"/>
        </w:tabs>
        <w:ind w:left="2880" w:hanging="360"/>
      </w:pPr>
      <w:rPr>
        <w:rFonts w:ascii="Arial" w:hAnsi="Arial" w:hint="default"/>
      </w:rPr>
    </w:lvl>
    <w:lvl w:ilvl="4" w:tplc="EA820F52" w:tentative="1">
      <w:start w:val="1"/>
      <w:numFmt w:val="bullet"/>
      <w:lvlText w:val="•"/>
      <w:lvlJc w:val="left"/>
      <w:pPr>
        <w:tabs>
          <w:tab w:val="num" w:pos="3600"/>
        </w:tabs>
        <w:ind w:left="3600" w:hanging="360"/>
      </w:pPr>
      <w:rPr>
        <w:rFonts w:ascii="Arial" w:hAnsi="Arial" w:hint="default"/>
      </w:rPr>
    </w:lvl>
    <w:lvl w:ilvl="5" w:tplc="07B86AF0" w:tentative="1">
      <w:start w:val="1"/>
      <w:numFmt w:val="bullet"/>
      <w:lvlText w:val="•"/>
      <w:lvlJc w:val="left"/>
      <w:pPr>
        <w:tabs>
          <w:tab w:val="num" w:pos="4320"/>
        </w:tabs>
        <w:ind w:left="4320" w:hanging="360"/>
      </w:pPr>
      <w:rPr>
        <w:rFonts w:ascii="Arial" w:hAnsi="Arial" w:hint="default"/>
      </w:rPr>
    </w:lvl>
    <w:lvl w:ilvl="6" w:tplc="EFE254F2" w:tentative="1">
      <w:start w:val="1"/>
      <w:numFmt w:val="bullet"/>
      <w:lvlText w:val="•"/>
      <w:lvlJc w:val="left"/>
      <w:pPr>
        <w:tabs>
          <w:tab w:val="num" w:pos="5040"/>
        </w:tabs>
        <w:ind w:left="5040" w:hanging="360"/>
      </w:pPr>
      <w:rPr>
        <w:rFonts w:ascii="Arial" w:hAnsi="Arial" w:hint="default"/>
      </w:rPr>
    </w:lvl>
    <w:lvl w:ilvl="7" w:tplc="2D2EC9D2" w:tentative="1">
      <w:start w:val="1"/>
      <w:numFmt w:val="bullet"/>
      <w:lvlText w:val="•"/>
      <w:lvlJc w:val="left"/>
      <w:pPr>
        <w:tabs>
          <w:tab w:val="num" w:pos="5760"/>
        </w:tabs>
        <w:ind w:left="5760" w:hanging="360"/>
      </w:pPr>
      <w:rPr>
        <w:rFonts w:ascii="Arial" w:hAnsi="Arial" w:hint="default"/>
      </w:rPr>
    </w:lvl>
    <w:lvl w:ilvl="8" w:tplc="1A84B7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E390C84"/>
    <w:multiLevelType w:val="hybridMultilevel"/>
    <w:tmpl w:val="BAD63F0A"/>
    <w:lvl w:ilvl="0" w:tplc="BE14A16C">
      <w:start w:val="1"/>
      <w:numFmt w:val="bullet"/>
      <w:lvlText w:val=""/>
      <w:lvlJc w:val="left"/>
      <w:pPr>
        <w:tabs>
          <w:tab w:val="num" w:pos="720"/>
        </w:tabs>
        <w:ind w:left="720" w:hanging="360"/>
      </w:pPr>
      <w:rPr>
        <w:rFonts w:ascii="Wingdings 3" w:hAnsi="Wingdings 3" w:hint="default"/>
      </w:rPr>
    </w:lvl>
    <w:lvl w:ilvl="1" w:tplc="59F8D190" w:tentative="1">
      <w:start w:val="1"/>
      <w:numFmt w:val="bullet"/>
      <w:lvlText w:val=""/>
      <w:lvlJc w:val="left"/>
      <w:pPr>
        <w:tabs>
          <w:tab w:val="num" w:pos="1440"/>
        </w:tabs>
        <w:ind w:left="1440" w:hanging="360"/>
      </w:pPr>
      <w:rPr>
        <w:rFonts w:ascii="Wingdings 3" w:hAnsi="Wingdings 3" w:hint="default"/>
      </w:rPr>
    </w:lvl>
    <w:lvl w:ilvl="2" w:tplc="089CAAAC" w:tentative="1">
      <w:start w:val="1"/>
      <w:numFmt w:val="bullet"/>
      <w:lvlText w:val=""/>
      <w:lvlJc w:val="left"/>
      <w:pPr>
        <w:tabs>
          <w:tab w:val="num" w:pos="2160"/>
        </w:tabs>
        <w:ind w:left="2160" w:hanging="360"/>
      </w:pPr>
      <w:rPr>
        <w:rFonts w:ascii="Wingdings 3" w:hAnsi="Wingdings 3" w:hint="default"/>
      </w:rPr>
    </w:lvl>
    <w:lvl w:ilvl="3" w:tplc="269C8D70" w:tentative="1">
      <w:start w:val="1"/>
      <w:numFmt w:val="bullet"/>
      <w:lvlText w:val=""/>
      <w:lvlJc w:val="left"/>
      <w:pPr>
        <w:tabs>
          <w:tab w:val="num" w:pos="2880"/>
        </w:tabs>
        <w:ind w:left="2880" w:hanging="360"/>
      </w:pPr>
      <w:rPr>
        <w:rFonts w:ascii="Wingdings 3" w:hAnsi="Wingdings 3" w:hint="default"/>
      </w:rPr>
    </w:lvl>
    <w:lvl w:ilvl="4" w:tplc="76BA2E76" w:tentative="1">
      <w:start w:val="1"/>
      <w:numFmt w:val="bullet"/>
      <w:lvlText w:val=""/>
      <w:lvlJc w:val="left"/>
      <w:pPr>
        <w:tabs>
          <w:tab w:val="num" w:pos="3600"/>
        </w:tabs>
        <w:ind w:left="3600" w:hanging="360"/>
      </w:pPr>
      <w:rPr>
        <w:rFonts w:ascii="Wingdings 3" w:hAnsi="Wingdings 3" w:hint="default"/>
      </w:rPr>
    </w:lvl>
    <w:lvl w:ilvl="5" w:tplc="F4E0E642" w:tentative="1">
      <w:start w:val="1"/>
      <w:numFmt w:val="bullet"/>
      <w:lvlText w:val=""/>
      <w:lvlJc w:val="left"/>
      <w:pPr>
        <w:tabs>
          <w:tab w:val="num" w:pos="4320"/>
        </w:tabs>
        <w:ind w:left="4320" w:hanging="360"/>
      </w:pPr>
      <w:rPr>
        <w:rFonts w:ascii="Wingdings 3" w:hAnsi="Wingdings 3" w:hint="default"/>
      </w:rPr>
    </w:lvl>
    <w:lvl w:ilvl="6" w:tplc="0F64C5C0" w:tentative="1">
      <w:start w:val="1"/>
      <w:numFmt w:val="bullet"/>
      <w:lvlText w:val=""/>
      <w:lvlJc w:val="left"/>
      <w:pPr>
        <w:tabs>
          <w:tab w:val="num" w:pos="5040"/>
        </w:tabs>
        <w:ind w:left="5040" w:hanging="360"/>
      </w:pPr>
      <w:rPr>
        <w:rFonts w:ascii="Wingdings 3" w:hAnsi="Wingdings 3" w:hint="default"/>
      </w:rPr>
    </w:lvl>
    <w:lvl w:ilvl="7" w:tplc="F26A6CE4" w:tentative="1">
      <w:start w:val="1"/>
      <w:numFmt w:val="bullet"/>
      <w:lvlText w:val=""/>
      <w:lvlJc w:val="left"/>
      <w:pPr>
        <w:tabs>
          <w:tab w:val="num" w:pos="5760"/>
        </w:tabs>
        <w:ind w:left="5760" w:hanging="360"/>
      </w:pPr>
      <w:rPr>
        <w:rFonts w:ascii="Wingdings 3" w:hAnsi="Wingdings 3" w:hint="default"/>
      </w:rPr>
    </w:lvl>
    <w:lvl w:ilvl="8" w:tplc="08EE14C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5E9960F7"/>
    <w:multiLevelType w:val="hybridMultilevel"/>
    <w:tmpl w:val="52561D5A"/>
    <w:lvl w:ilvl="0" w:tplc="6E402060">
      <w:start w:val="1"/>
      <w:numFmt w:val="bullet"/>
      <w:lvlText w:val=""/>
      <w:lvlJc w:val="left"/>
      <w:pPr>
        <w:tabs>
          <w:tab w:val="num" w:pos="720"/>
        </w:tabs>
        <w:ind w:left="720" w:hanging="360"/>
      </w:pPr>
      <w:rPr>
        <w:rFonts w:ascii="Wingdings 3" w:hAnsi="Wingdings 3" w:hint="default"/>
      </w:rPr>
    </w:lvl>
    <w:lvl w:ilvl="1" w:tplc="7F5C50CE" w:tentative="1">
      <w:start w:val="1"/>
      <w:numFmt w:val="bullet"/>
      <w:lvlText w:val=""/>
      <w:lvlJc w:val="left"/>
      <w:pPr>
        <w:tabs>
          <w:tab w:val="num" w:pos="1440"/>
        </w:tabs>
        <w:ind w:left="1440" w:hanging="360"/>
      </w:pPr>
      <w:rPr>
        <w:rFonts w:ascii="Wingdings 3" w:hAnsi="Wingdings 3" w:hint="default"/>
      </w:rPr>
    </w:lvl>
    <w:lvl w:ilvl="2" w:tplc="5B02F968" w:tentative="1">
      <w:start w:val="1"/>
      <w:numFmt w:val="bullet"/>
      <w:lvlText w:val=""/>
      <w:lvlJc w:val="left"/>
      <w:pPr>
        <w:tabs>
          <w:tab w:val="num" w:pos="2160"/>
        </w:tabs>
        <w:ind w:left="2160" w:hanging="360"/>
      </w:pPr>
      <w:rPr>
        <w:rFonts w:ascii="Wingdings 3" w:hAnsi="Wingdings 3" w:hint="default"/>
      </w:rPr>
    </w:lvl>
    <w:lvl w:ilvl="3" w:tplc="90FC9B58" w:tentative="1">
      <w:start w:val="1"/>
      <w:numFmt w:val="bullet"/>
      <w:lvlText w:val=""/>
      <w:lvlJc w:val="left"/>
      <w:pPr>
        <w:tabs>
          <w:tab w:val="num" w:pos="2880"/>
        </w:tabs>
        <w:ind w:left="2880" w:hanging="360"/>
      </w:pPr>
      <w:rPr>
        <w:rFonts w:ascii="Wingdings 3" w:hAnsi="Wingdings 3" w:hint="default"/>
      </w:rPr>
    </w:lvl>
    <w:lvl w:ilvl="4" w:tplc="168C63AA" w:tentative="1">
      <w:start w:val="1"/>
      <w:numFmt w:val="bullet"/>
      <w:lvlText w:val=""/>
      <w:lvlJc w:val="left"/>
      <w:pPr>
        <w:tabs>
          <w:tab w:val="num" w:pos="3600"/>
        </w:tabs>
        <w:ind w:left="3600" w:hanging="360"/>
      </w:pPr>
      <w:rPr>
        <w:rFonts w:ascii="Wingdings 3" w:hAnsi="Wingdings 3" w:hint="default"/>
      </w:rPr>
    </w:lvl>
    <w:lvl w:ilvl="5" w:tplc="E4E4A08E" w:tentative="1">
      <w:start w:val="1"/>
      <w:numFmt w:val="bullet"/>
      <w:lvlText w:val=""/>
      <w:lvlJc w:val="left"/>
      <w:pPr>
        <w:tabs>
          <w:tab w:val="num" w:pos="4320"/>
        </w:tabs>
        <w:ind w:left="4320" w:hanging="360"/>
      </w:pPr>
      <w:rPr>
        <w:rFonts w:ascii="Wingdings 3" w:hAnsi="Wingdings 3" w:hint="default"/>
      </w:rPr>
    </w:lvl>
    <w:lvl w:ilvl="6" w:tplc="F6F847C2" w:tentative="1">
      <w:start w:val="1"/>
      <w:numFmt w:val="bullet"/>
      <w:lvlText w:val=""/>
      <w:lvlJc w:val="left"/>
      <w:pPr>
        <w:tabs>
          <w:tab w:val="num" w:pos="5040"/>
        </w:tabs>
        <w:ind w:left="5040" w:hanging="360"/>
      </w:pPr>
      <w:rPr>
        <w:rFonts w:ascii="Wingdings 3" w:hAnsi="Wingdings 3" w:hint="default"/>
      </w:rPr>
    </w:lvl>
    <w:lvl w:ilvl="7" w:tplc="5450DA30" w:tentative="1">
      <w:start w:val="1"/>
      <w:numFmt w:val="bullet"/>
      <w:lvlText w:val=""/>
      <w:lvlJc w:val="left"/>
      <w:pPr>
        <w:tabs>
          <w:tab w:val="num" w:pos="5760"/>
        </w:tabs>
        <w:ind w:left="5760" w:hanging="360"/>
      </w:pPr>
      <w:rPr>
        <w:rFonts w:ascii="Wingdings 3" w:hAnsi="Wingdings 3" w:hint="default"/>
      </w:rPr>
    </w:lvl>
    <w:lvl w:ilvl="8" w:tplc="1E16713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72894B64"/>
    <w:multiLevelType w:val="hybridMultilevel"/>
    <w:tmpl w:val="E51E7418"/>
    <w:lvl w:ilvl="0" w:tplc="462452EC">
      <w:start w:val="1"/>
      <w:numFmt w:val="bullet"/>
      <w:lvlText w:val=""/>
      <w:lvlJc w:val="left"/>
      <w:pPr>
        <w:tabs>
          <w:tab w:val="num" w:pos="720"/>
        </w:tabs>
        <w:ind w:left="720" w:hanging="360"/>
      </w:pPr>
      <w:rPr>
        <w:rFonts w:ascii="Wingdings 3" w:hAnsi="Wingdings 3" w:hint="default"/>
      </w:rPr>
    </w:lvl>
    <w:lvl w:ilvl="1" w:tplc="949A4E2E" w:tentative="1">
      <w:start w:val="1"/>
      <w:numFmt w:val="bullet"/>
      <w:lvlText w:val=""/>
      <w:lvlJc w:val="left"/>
      <w:pPr>
        <w:tabs>
          <w:tab w:val="num" w:pos="1440"/>
        </w:tabs>
        <w:ind w:left="1440" w:hanging="360"/>
      </w:pPr>
      <w:rPr>
        <w:rFonts w:ascii="Wingdings 3" w:hAnsi="Wingdings 3" w:hint="default"/>
      </w:rPr>
    </w:lvl>
    <w:lvl w:ilvl="2" w:tplc="CC5220E4" w:tentative="1">
      <w:start w:val="1"/>
      <w:numFmt w:val="bullet"/>
      <w:lvlText w:val=""/>
      <w:lvlJc w:val="left"/>
      <w:pPr>
        <w:tabs>
          <w:tab w:val="num" w:pos="2160"/>
        </w:tabs>
        <w:ind w:left="2160" w:hanging="360"/>
      </w:pPr>
      <w:rPr>
        <w:rFonts w:ascii="Wingdings 3" w:hAnsi="Wingdings 3" w:hint="default"/>
      </w:rPr>
    </w:lvl>
    <w:lvl w:ilvl="3" w:tplc="508A48D4" w:tentative="1">
      <w:start w:val="1"/>
      <w:numFmt w:val="bullet"/>
      <w:lvlText w:val=""/>
      <w:lvlJc w:val="left"/>
      <w:pPr>
        <w:tabs>
          <w:tab w:val="num" w:pos="2880"/>
        </w:tabs>
        <w:ind w:left="2880" w:hanging="360"/>
      </w:pPr>
      <w:rPr>
        <w:rFonts w:ascii="Wingdings 3" w:hAnsi="Wingdings 3" w:hint="default"/>
      </w:rPr>
    </w:lvl>
    <w:lvl w:ilvl="4" w:tplc="4EA80090" w:tentative="1">
      <w:start w:val="1"/>
      <w:numFmt w:val="bullet"/>
      <w:lvlText w:val=""/>
      <w:lvlJc w:val="left"/>
      <w:pPr>
        <w:tabs>
          <w:tab w:val="num" w:pos="3600"/>
        </w:tabs>
        <w:ind w:left="3600" w:hanging="360"/>
      </w:pPr>
      <w:rPr>
        <w:rFonts w:ascii="Wingdings 3" w:hAnsi="Wingdings 3" w:hint="default"/>
      </w:rPr>
    </w:lvl>
    <w:lvl w:ilvl="5" w:tplc="F3627C90" w:tentative="1">
      <w:start w:val="1"/>
      <w:numFmt w:val="bullet"/>
      <w:lvlText w:val=""/>
      <w:lvlJc w:val="left"/>
      <w:pPr>
        <w:tabs>
          <w:tab w:val="num" w:pos="4320"/>
        </w:tabs>
        <w:ind w:left="4320" w:hanging="360"/>
      </w:pPr>
      <w:rPr>
        <w:rFonts w:ascii="Wingdings 3" w:hAnsi="Wingdings 3" w:hint="default"/>
      </w:rPr>
    </w:lvl>
    <w:lvl w:ilvl="6" w:tplc="1F0ECE78" w:tentative="1">
      <w:start w:val="1"/>
      <w:numFmt w:val="bullet"/>
      <w:lvlText w:val=""/>
      <w:lvlJc w:val="left"/>
      <w:pPr>
        <w:tabs>
          <w:tab w:val="num" w:pos="5040"/>
        </w:tabs>
        <w:ind w:left="5040" w:hanging="360"/>
      </w:pPr>
      <w:rPr>
        <w:rFonts w:ascii="Wingdings 3" w:hAnsi="Wingdings 3" w:hint="default"/>
      </w:rPr>
    </w:lvl>
    <w:lvl w:ilvl="7" w:tplc="50C04A56" w:tentative="1">
      <w:start w:val="1"/>
      <w:numFmt w:val="bullet"/>
      <w:lvlText w:val=""/>
      <w:lvlJc w:val="left"/>
      <w:pPr>
        <w:tabs>
          <w:tab w:val="num" w:pos="5760"/>
        </w:tabs>
        <w:ind w:left="5760" w:hanging="360"/>
      </w:pPr>
      <w:rPr>
        <w:rFonts w:ascii="Wingdings 3" w:hAnsi="Wingdings 3" w:hint="default"/>
      </w:rPr>
    </w:lvl>
    <w:lvl w:ilvl="8" w:tplc="557CCEA0"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1"/>
  </w:num>
  <w:num w:numId="3">
    <w:abstractNumId w:val="0"/>
  </w:num>
  <w:num w:numId="4">
    <w:abstractNumId w:val="6"/>
  </w:num>
  <w:num w:numId="5">
    <w:abstractNumId w:val="8"/>
  </w:num>
  <w:num w:numId="6">
    <w:abstractNumId w:val="5"/>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D02"/>
    <w:rsid w:val="00016577"/>
    <w:rsid w:val="00036EC9"/>
    <w:rsid w:val="00040D0D"/>
    <w:rsid w:val="00046FFF"/>
    <w:rsid w:val="00055FCB"/>
    <w:rsid w:val="00070C6E"/>
    <w:rsid w:val="00096C6F"/>
    <w:rsid w:val="00103304"/>
    <w:rsid w:val="00107EDF"/>
    <w:rsid w:val="00113EA5"/>
    <w:rsid w:val="001328B4"/>
    <w:rsid w:val="001C6B8D"/>
    <w:rsid w:val="0021771F"/>
    <w:rsid w:val="0022763E"/>
    <w:rsid w:val="0024112E"/>
    <w:rsid w:val="00244B66"/>
    <w:rsid w:val="00260B0A"/>
    <w:rsid w:val="00293E43"/>
    <w:rsid w:val="002B405B"/>
    <w:rsid w:val="00307A2D"/>
    <w:rsid w:val="00311A08"/>
    <w:rsid w:val="0032799D"/>
    <w:rsid w:val="00335665"/>
    <w:rsid w:val="00407E23"/>
    <w:rsid w:val="0042504E"/>
    <w:rsid w:val="00442E56"/>
    <w:rsid w:val="00450AD9"/>
    <w:rsid w:val="0046327A"/>
    <w:rsid w:val="00465169"/>
    <w:rsid w:val="00465A72"/>
    <w:rsid w:val="0048468C"/>
    <w:rsid w:val="004C0EA7"/>
    <w:rsid w:val="0051614C"/>
    <w:rsid w:val="00535654"/>
    <w:rsid w:val="0055274C"/>
    <w:rsid w:val="005574EE"/>
    <w:rsid w:val="00585077"/>
    <w:rsid w:val="00587172"/>
    <w:rsid w:val="005C4640"/>
    <w:rsid w:val="005E6169"/>
    <w:rsid w:val="00672CB5"/>
    <w:rsid w:val="006A27E0"/>
    <w:rsid w:val="006C13C5"/>
    <w:rsid w:val="006C78E5"/>
    <w:rsid w:val="00707C8E"/>
    <w:rsid w:val="007325B0"/>
    <w:rsid w:val="00737075"/>
    <w:rsid w:val="00796FE4"/>
    <w:rsid w:val="00841AD8"/>
    <w:rsid w:val="008736A0"/>
    <w:rsid w:val="00893C2B"/>
    <w:rsid w:val="00897E6F"/>
    <w:rsid w:val="008E1669"/>
    <w:rsid w:val="008F2F25"/>
    <w:rsid w:val="008F6574"/>
    <w:rsid w:val="008F7804"/>
    <w:rsid w:val="00900747"/>
    <w:rsid w:val="00911D02"/>
    <w:rsid w:val="00995632"/>
    <w:rsid w:val="009C63D5"/>
    <w:rsid w:val="00A051D2"/>
    <w:rsid w:val="00A1307A"/>
    <w:rsid w:val="00A20DA6"/>
    <w:rsid w:val="00A3774F"/>
    <w:rsid w:val="00A409DB"/>
    <w:rsid w:val="00A45862"/>
    <w:rsid w:val="00A46F69"/>
    <w:rsid w:val="00A60ED0"/>
    <w:rsid w:val="00A8009C"/>
    <w:rsid w:val="00A968F2"/>
    <w:rsid w:val="00AA696A"/>
    <w:rsid w:val="00AC738D"/>
    <w:rsid w:val="00AD702C"/>
    <w:rsid w:val="00AF3D7E"/>
    <w:rsid w:val="00AF51FA"/>
    <w:rsid w:val="00B37A3F"/>
    <w:rsid w:val="00B85DD2"/>
    <w:rsid w:val="00B85E5C"/>
    <w:rsid w:val="00BE2286"/>
    <w:rsid w:val="00C45B14"/>
    <w:rsid w:val="00C66BC4"/>
    <w:rsid w:val="00CA2AFB"/>
    <w:rsid w:val="00CB0C87"/>
    <w:rsid w:val="00CF6CCA"/>
    <w:rsid w:val="00D0653A"/>
    <w:rsid w:val="00D10F59"/>
    <w:rsid w:val="00D2506A"/>
    <w:rsid w:val="00D74980"/>
    <w:rsid w:val="00E17A95"/>
    <w:rsid w:val="00E25747"/>
    <w:rsid w:val="00E91B67"/>
    <w:rsid w:val="00E91C8F"/>
    <w:rsid w:val="00EA4E9D"/>
    <w:rsid w:val="00EA6BA5"/>
    <w:rsid w:val="00EE0A52"/>
    <w:rsid w:val="00F004D2"/>
    <w:rsid w:val="00F15404"/>
    <w:rsid w:val="00F72910"/>
    <w:rsid w:val="00F740F5"/>
    <w:rsid w:val="00F928E7"/>
    <w:rsid w:val="00FE02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D140C"/>
  <w15:chartTrackingRefBased/>
  <w15:docId w15:val="{82E78731-6173-42BD-A1F4-62E0608D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D02"/>
  </w:style>
  <w:style w:type="paragraph" w:styleId="Ttulo1">
    <w:name w:val="heading 1"/>
    <w:basedOn w:val="Normal"/>
    <w:next w:val="Normal"/>
    <w:link w:val="Ttulo1Car"/>
    <w:uiPriority w:val="9"/>
    <w:qFormat/>
    <w:rsid w:val="00911D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11D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11D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1D0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11D0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11D02"/>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911D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1D02"/>
  </w:style>
  <w:style w:type="paragraph" w:styleId="Piedepgina">
    <w:name w:val="footer"/>
    <w:basedOn w:val="Normal"/>
    <w:link w:val="PiedepginaCar"/>
    <w:uiPriority w:val="99"/>
    <w:unhideWhenUsed/>
    <w:rsid w:val="00911D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1D02"/>
  </w:style>
  <w:style w:type="paragraph" w:styleId="Prrafodelista">
    <w:name w:val="List Paragraph"/>
    <w:basedOn w:val="Normal"/>
    <w:uiPriority w:val="34"/>
    <w:qFormat/>
    <w:rsid w:val="00911D02"/>
    <w:pPr>
      <w:ind w:left="720"/>
      <w:contextualSpacing/>
    </w:pPr>
  </w:style>
  <w:style w:type="paragraph" w:styleId="NormalWeb">
    <w:name w:val="Normal (Web)"/>
    <w:basedOn w:val="Normal"/>
    <w:uiPriority w:val="99"/>
    <w:semiHidden/>
    <w:unhideWhenUsed/>
    <w:rsid w:val="00796FE4"/>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873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B0C87"/>
    <w:rPr>
      <w:sz w:val="16"/>
      <w:szCs w:val="16"/>
    </w:rPr>
  </w:style>
  <w:style w:type="paragraph" w:styleId="Textocomentario">
    <w:name w:val="annotation text"/>
    <w:basedOn w:val="Normal"/>
    <w:link w:val="TextocomentarioCar"/>
    <w:uiPriority w:val="99"/>
    <w:semiHidden/>
    <w:unhideWhenUsed/>
    <w:rsid w:val="00CB0C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0C87"/>
    <w:rPr>
      <w:sz w:val="20"/>
      <w:szCs w:val="20"/>
    </w:rPr>
  </w:style>
  <w:style w:type="paragraph" w:styleId="Asuntodelcomentario">
    <w:name w:val="annotation subject"/>
    <w:basedOn w:val="Textocomentario"/>
    <w:next w:val="Textocomentario"/>
    <w:link w:val="AsuntodelcomentarioCar"/>
    <w:uiPriority w:val="99"/>
    <w:semiHidden/>
    <w:unhideWhenUsed/>
    <w:rsid w:val="00CB0C87"/>
    <w:rPr>
      <w:b/>
      <w:bCs/>
    </w:rPr>
  </w:style>
  <w:style w:type="character" w:customStyle="1" w:styleId="AsuntodelcomentarioCar">
    <w:name w:val="Asunto del comentario Car"/>
    <w:basedOn w:val="TextocomentarioCar"/>
    <w:link w:val="Asuntodelcomentario"/>
    <w:uiPriority w:val="99"/>
    <w:semiHidden/>
    <w:rsid w:val="00CB0C87"/>
    <w:rPr>
      <w:b/>
      <w:bCs/>
      <w:sz w:val="20"/>
      <w:szCs w:val="20"/>
    </w:rPr>
  </w:style>
  <w:style w:type="paragraph" w:styleId="Textodeglobo">
    <w:name w:val="Balloon Text"/>
    <w:basedOn w:val="Normal"/>
    <w:link w:val="TextodegloboCar"/>
    <w:uiPriority w:val="99"/>
    <w:semiHidden/>
    <w:unhideWhenUsed/>
    <w:rsid w:val="00CB0C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0C87"/>
    <w:rPr>
      <w:rFonts w:ascii="Segoe UI" w:hAnsi="Segoe UI" w:cs="Segoe UI"/>
      <w:sz w:val="18"/>
      <w:szCs w:val="18"/>
    </w:rPr>
  </w:style>
  <w:style w:type="paragraph" w:styleId="Textonotapie">
    <w:name w:val="footnote text"/>
    <w:basedOn w:val="Normal"/>
    <w:link w:val="TextonotapieCar"/>
    <w:uiPriority w:val="99"/>
    <w:semiHidden/>
    <w:unhideWhenUsed/>
    <w:rsid w:val="00293E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3E43"/>
    <w:rPr>
      <w:sz w:val="20"/>
      <w:szCs w:val="20"/>
    </w:rPr>
  </w:style>
  <w:style w:type="character" w:styleId="Refdenotaalpie">
    <w:name w:val="footnote reference"/>
    <w:basedOn w:val="Fuentedeprrafopredeter"/>
    <w:uiPriority w:val="99"/>
    <w:semiHidden/>
    <w:unhideWhenUsed/>
    <w:rsid w:val="00293E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0995">
      <w:bodyDiv w:val="1"/>
      <w:marLeft w:val="0"/>
      <w:marRight w:val="0"/>
      <w:marTop w:val="0"/>
      <w:marBottom w:val="0"/>
      <w:divBdr>
        <w:top w:val="none" w:sz="0" w:space="0" w:color="auto"/>
        <w:left w:val="none" w:sz="0" w:space="0" w:color="auto"/>
        <w:bottom w:val="none" w:sz="0" w:space="0" w:color="auto"/>
        <w:right w:val="none" w:sz="0" w:space="0" w:color="auto"/>
      </w:divBdr>
      <w:divsChild>
        <w:div w:id="1633441605">
          <w:marLeft w:val="576"/>
          <w:marRight w:val="0"/>
          <w:marTop w:val="80"/>
          <w:marBottom w:val="0"/>
          <w:divBdr>
            <w:top w:val="none" w:sz="0" w:space="0" w:color="auto"/>
            <w:left w:val="none" w:sz="0" w:space="0" w:color="auto"/>
            <w:bottom w:val="none" w:sz="0" w:space="0" w:color="auto"/>
            <w:right w:val="none" w:sz="0" w:space="0" w:color="auto"/>
          </w:divBdr>
        </w:div>
      </w:divsChild>
    </w:div>
    <w:div w:id="50231003">
      <w:bodyDiv w:val="1"/>
      <w:marLeft w:val="0"/>
      <w:marRight w:val="0"/>
      <w:marTop w:val="0"/>
      <w:marBottom w:val="0"/>
      <w:divBdr>
        <w:top w:val="none" w:sz="0" w:space="0" w:color="auto"/>
        <w:left w:val="none" w:sz="0" w:space="0" w:color="auto"/>
        <w:bottom w:val="none" w:sz="0" w:space="0" w:color="auto"/>
        <w:right w:val="none" w:sz="0" w:space="0" w:color="auto"/>
      </w:divBdr>
    </w:div>
    <w:div w:id="408159588">
      <w:bodyDiv w:val="1"/>
      <w:marLeft w:val="0"/>
      <w:marRight w:val="0"/>
      <w:marTop w:val="0"/>
      <w:marBottom w:val="0"/>
      <w:divBdr>
        <w:top w:val="none" w:sz="0" w:space="0" w:color="auto"/>
        <w:left w:val="none" w:sz="0" w:space="0" w:color="auto"/>
        <w:bottom w:val="none" w:sz="0" w:space="0" w:color="auto"/>
        <w:right w:val="none" w:sz="0" w:space="0" w:color="auto"/>
      </w:divBdr>
      <w:divsChild>
        <w:div w:id="564219220">
          <w:marLeft w:val="576"/>
          <w:marRight w:val="0"/>
          <w:marTop w:val="80"/>
          <w:marBottom w:val="0"/>
          <w:divBdr>
            <w:top w:val="none" w:sz="0" w:space="0" w:color="auto"/>
            <w:left w:val="none" w:sz="0" w:space="0" w:color="auto"/>
            <w:bottom w:val="none" w:sz="0" w:space="0" w:color="auto"/>
            <w:right w:val="none" w:sz="0" w:space="0" w:color="auto"/>
          </w:divBdr>
        </w:div>
        <w:div w:id="379324384">
          <w:marLeft w:val="576"/>
          <w:marRight w:val="0"/>
          <w:marTop w:val="80"/>
          <w:marBottom w:val="0"/>
          <w:divBdr>
            <w:top w:val="none" w:sz="0" w:space="0" w:color="auto"/>
            <w:left w:val="none" w:sz="0" w:space="0" w:color="auto"/>
            <w:bottom w:val="none" w:sz="0" w:space="0" w:color="auto"/>
            <w:right w:val="none" w:sz="0" w:space="0" w:color="auto"/>
          </w:divBdr>
        </w:div>
        <w:div w:id="715199139">
          <w:marLeft w:val="576"/>
          <w:marRight w:val="0"/>
          <w:marTop w:val="80"/>
          <w:marBottom w:val="0"/>
          <w:divBdr>
            <w:top w:val="none" w:sz="0" w:space="0" w:color="auto"/>
            <w:left w:val="none" w:sz="0" w:space="0" w:color="auto"/>
            <w:bottom w:val="none" w:sz="0" w:space="0" w:color="auto"/>
            <w:right w:val="none" w:sz="0" w:space="0" w:color="auto"/>
          </w:divBdr>
        </w:div>
        <w:div w:id="1757748884">
          <w:marLeft w:val="576"/>
          <w:marRight w:val="0"/>
          <w:marTop w:val="80"/>
          <w:marBottom w:val="0"/>
          <w:divBdr>
            <w:top w:val="none" w:sz="0" w:space="0" w:color="auto"/>
            <w:left w:val="none" w:sz="0" w:space="0" w:color="auto"/>
            <w:bottom w:val="none" w:sz="0" w:space="0" w:color="auto"/>
            <w:right w:val="none" w:sz="0" w:space="0" w:color="auto"/>
          </w:divBdr>
        </w:div>
      </w:divsChild>
    </w:div>
    <w:div w:id="803474290">
      <w:bodyDiv w:val="1"/>
      <w:marLeft w:val="0"/>
      <w:marRight w:val="0"/>
      <w:marTop w:val="0"/>
      <w:marBottom w:val="0"/>
      <w:divBdr>
        <w:top w:val="none" w:sz="0" w:space="0" w:color="auto"/>
        <w:left w:val="none" w:sz="0" w:space="0" w:color="auto"/>
        <w:bottom w:val="none" w:sz="0" w:space="0" w:color="auto"/>
        <w:right w:val="none" w:sz="0" w:space="0" w:color="auto"/>
      </w:divBdr>
    </w:div>
    <w:div w:id="821894539">
      <w:bodyDiv w:val="1"/>
      <w:marLeft w:val="0"/>
      <w:marRight w:val="0"/>
      <w:marTop w:val="0"/>
      <w:marBottom w:val="0"/>
      <w:divBdr>
        <w:top w:val="none" w:sz="0" w:space="0" w:color="auto"/>
        <w:left w:val="none" w:sz="0" w:space="0" w:color="auto"/>
        <w:bottom w:val="none" w:sz="0" w:space="0" w:color="auto"/>
        <w:right w:val="none" w:sz="0" w:space="0" w:color="auto"/>
      </w:divBdr>
      <w:divsChild>
        <w:div w:id="1895772661">
          <w:marLeft w:val="576"/>
          <w:marRight w:val="0"/>
          <w:marTop w:val="80"/>
          <w:marBottom w:val="0"/>
          <w:divBdr>
            <w:top w:val="none" w:sz="0" w:space="0" w:color="auto"/>
            <w:left w:val="none" w:sz="0" w:space="0" w:color="auto"/>
            <w:bottom w:val="none" w:sz="0" w:space="0" w:color="auto"/>
            <w:right w:val="none" w:sz="0" w:space="0" w:color="auto"/>
          </w:divBdr>
        </w:div>
        <w:div w:id="2137795838">
          <w:marLeft w:val="576"/>
          <w:marRight w:val="0"/>
          <w:marTop w:val="80"/>
          <w:marBottom w:val="0"/>
          <w:divBdr>
            <w:top w:val="none" w:sz="0" w:space="0" w:color="auto"/>
            <w:left w:val="none" w:sz="0" w:space="0" w:color="auto"/>
            <w:bottom w:val="none" w:sz="0" w:space="0" w:color="auto"/>
            <w:right w:val="none" w:sz="0" w:space="0" w:color="auto"/>
          </w:divBdr>
        </w:div>
        <w:div w:id="2066177057">
          <w:marLeft w:val="576"/>
          <w:marRight w:val="0"/>
          <w:marTop w:val="80"/>
          <w:marBottom w:val="0"/>
          <w:divBdr>
            <w:top w:val="none" w:sz="0" w:space="0" w:color="auto"/>
            <w:left w:val="none" w:sz="0" w:space="0" w:color="auto"/>
            <w:bottom w:val="none" w:sz="0" w:space="0" w:color="auto"/>
            <w:right w:val="none" w:sz="0" w:space="0" w:color="auto"/>
          </w:divBdr>
        </w:div>
        <w:div w:id="330185712">
          <w:marLeft w:val="576"/>
          <w:marRight w:val="0"/>
          <w:marTop w:val="80"/>
          <w:marBottom w:val="0"/>
          <w:divBdr>
            <w:top w:val="none" w:sz="0" w:space="0" w:color="auto"/>
            <w:left w:val="none" w:sz="0" w:space="0" w:color="auto"/>
            <w:bottom w:val="none" w:sz="0" w:space="0" w:color="auto"/>
            <w:right w:val="none" w:sz="0" w:space="0" w:color="auto"/>
          </w:divBdr>
        </w:div>
        <w:div w:id="1625430743">
          <w:marLeft w:val="576"/>
          <w:marRight w:val="0"/>
          <w:marTop w:val="80"/>
          <w:marBottom w:val="0"/>
          <w:divBdr>
            <w:top w:val="none" w:sz="0" w:space="0" w:color="auto"/>
            <w:left w:val="none" w:sz="0" w:space="0" w:color="auto"/>
            <w:bottom w:val="none" w:sz="0" w:space="0" w:color="auto"/>
            <w:right w:val="none" w:sz="0" w:space="0" w:color="auto"/>
          </w:divBdr>
        </w:div>
      </w:divsChild>
    </w:div>
    <w:div w:id="932515402">
      <w:bodyDiv w:val="1"/>
      <w:marLeft w:val="0"/>
      <w:marRight w:val="0"/>
      <w:marTop w:val="0"/>
      <w:marBottom w:val="0"/>
      <w:divBdr>
        <w:top w:val="none" w:sz="0" w:space="0" w:color="auto"/>
        <w:left w:val="none" w:sz="0" w:space="0" w:color="auto"/>
        <w:bottom w:val="none" w:sz="0" w:space="0" w:color="auto"/>
        <w:right w:val="none" w:sz="0" w:space="0" w:color="auto"/>
      </w:divBdr>
      <w:divsChild>
        <w:div w:id="1719276346">
          <w:marLeft w:val="576"/>
          <w:marRight w:val="0"/>
          <w:marTop w:val="80"/>
          <w:marBottom w:val="0"/>
          <w:divBdr>
            <w:top w:val="none" w:sz="0" w:space="0" w:color="auto"/>
            <w:left w:val="none" w:sz="0" w:space="0" w:color="auto"/>
            <w:bottom w:val="none" w:sz="0" w:space="0" w:color="auto"/>
            <w:right w:val="none" w:sz="0" w:space="0" w:color="auto"/>
          </w:divBdr>
        </w:div>
        <w:div w:id="2009553989">
          <w:marLeft w:val="576"/>
          <w:marRight w:val="0"/>
          <w:marTop w:val="80"/>
          <w:marBottom w:val="0"/>
          <w:divBdr>
            <w:top w:val="none" w:sz="0" w:space="0" w:color="auto"/>
            <w:left w:val="none" w:sz="0" w:space="0" w:color="auto"/>
            <w:bottom w:val="none" w:sz="0" w:space="0" w:color="auto"/>
            <w:right w:val="none" w:sz="0" w:space="0" w:color="auto"/>
          </w:divBdr>
        </w:div>
        <w:div w:id="1223521197">
          <w:marLeft w:val="576"/>
          <w:marRight w:val="0"/>
          <w:marTop w:val="80"/>
          <w:marBottom w:val="0"/>
          <w:divBdr>
            <w:top w:val="none" w:sz="0" w:space="0" w:color="auto"/>
            <w:left w:val="none" w:sz="0" w:space="0" w:color="auto"/>
            <w:bottom w:val="none" w:sz="0" w:space="0" w:color="auto"/>
            <w:right w:val="none" w:sz="0" w:space="0" w:color="auto"/>
          </w:divBdr>
        </w:div>
        <w:div w:id="602416384">
          <w:marLeft w:val="576"/>
          <w:marRight w:val="0"/>
          <w:marTop w:val="80"/>
          <w:marBottom w:val="0"/>
          <w:divBdr>
            <w:top w:val="none" w:sz="0" w:space="0" w:color="auto"/>
            <w:left w:val="none" w:sz="0" w:space="0" w:color="auto"/>
            <w:bottom w:val="none" w:sz="0" w:space="0" w:color="auto"/>
            <w:right w:val="none" w:sz="0" w:space="0" w:color="auto"/>
          </w:divBdr>
        </w:div>
        <w:div w:id="1624842030">
          <w:marLeft w:val="576"/>
          <w:marRight w:val="0"/>
          <w:marTop w:val="80"/>
          <w:marBottom w:val="0"/>
          <w:divBdr>
            <w:top w:val="none" w:sz="0" w:space="0" w:color="auto"/>
            <w:left w:val="none" w:sz="0" w:space="0" w:color="auto"/>
            <w:bottom w:val="none" w:sz="0" w:space="0" w:color="auto"/>
            <w:right w:val="none" w:sz="0" w:space="0" w:color="auto"/>
          </w:divBdr>
        </w:div>
      </w:divsChild>
    </w:div>
    <w:div w:id="1058357105">
      <w:bodyDiv w:val="1"/>
      <w:marLeft w:val="0"/>
      <w:marRight w:val="0"/>
      <w:marTop w:val="0"/>
      <w:marBottom w:val="0"/>
      <w:divBdr>
        <w:top w:val="none" w:sz="0" w:space="0" w:color="auto"/>
        <w:left w:val="none" w:sz="0" w:space="0" w:color="auto"/>
        <w:bottom w:val="none" w:sz="0" w:space="0" w:color="auto"/>
        <w:right w:val="none" w:sz="0" w:space="0" w:color="auto"/>
      </w:divBdr>
    </w:div>
    <w:div w:id="1147436847">
      <w:bodyDiv w:val="1"/>
      <w:marLeft w:val="0"/>
      <w:marRight w:val="0"/>
      <w:marTop w:val="0"/>
      <w:marBottom w:val="0"/>
      <w:divBdr>
        <w:top w:val="none" w:sz="0" w:space="0" w:color="auto"/>
        <w:left w:val="none" w:sz="0" w:space="0" w:color="auto"/>
        <w:bottom w:val="none" w:sz="0" w:space="0" w:color="auto"/>
        <w:right w:val="none" w:sz="0" w:space="0" w:color="auto"/>
      </w:divBdr>
      <w:divsChild>
        <w:div w:id="1525557242">
          <w:marLeft w:val="446"/>
          <w:marRight w:val="0"/>
          <w:marTop w:val="0"/>
          <w:marBottom w:val="0"/>
          <w:divBdr>
            <w:top w:val="none" w:sz="0" w:space="0" w:color="auto"/>
            <w:left w:val="none" w:sz="0" w:space="0" w:color="auto"/>
            <w:bottom w:val="none" w:sz="0" w:space="0" w:color="auto"/>
            <w:right w:val="none" w:sz="0" w:space="0" w:color="auto"/>
          </w:divBdr>
        </w:div>
      </w:divsChild>
    </w:div>
    <w:div w:id="1270773823">
      <w:bodyDiv w:val="1"/>
      <w:marLeft w:val="0"/>
      <w:marRight w:val="0"/>
      <w:marTop w:val="0"/>
      <w:marBottom w:val="0"/>
      <w:divBdr>
        <w:top w:val="none" w:sz="0" w:space="0" w:color="auto"/>
        <w:left w:val="none" w:sz="0" w:space="0" w:color="auto"/>
        <w:bottom w:val="none" w:sz="0" w:space="0" w:color="auto"/>
        <w:right w:val="none" w:sz="0" w:space="0" w:color="auto"/>
      </w:divBdr>
      <w:divsChild>
        <w:div w:id="1778793239">
          <w:marLeft w:val="576"/>
          <w:marRight w:val="0"/>
          <w:marTop w:val="80"/>
          <w:marBottom w:val="0"/>
          <w:divBdr>
            <w:top w:val="none" w:sz="0" w:space="0" w:color="auto"/>
            <w:left w:val="none" w:sz="0" w:space="0" w:color="auto"/>
            <w:bottom w:val="none" w:sz="0" w:space="0" w:color="auto"/>
            <w:right w:val="none" w:sz="0" w:space="0" w:color="auto"/>
          </w:divBdr>
        </w:div>
        <w:div w:id="960301382">
          <w:marLeft w:val="576"/>
          <w:marRight w:val="0"/>
          <w:marTop w:val="80"/>
          <w:marBottom w:val="0"/>
          <w:divBdr>
            <w:top w:val="none" w:sz="0" w:space="0" w:color="auto"/>
            <w:left w:val="none" w:sz="0" w:space="0" w:color="auto"/>
            <w:bottom w:val="none" w:sz="0" w:space="0" w:color="auto"/>
            <w:right w:val="none" w:sz="0" w:space="0" w:color="auto"/>
          </w:divBdr>
        </w:div>
      </w:divsChild>
    </w:div>
    <w:div w:id="1411342196">
      <w:bodyDiv w:val="1"/>
      <w:marLeft w:val="0"/>
      <w:marRight w:val="0"/>
      <w:marTop w:val="0"/>
      <w:marBottom w:val="0"/>
      <w:divBdr>
        <w:top w:val="none" w:sz="0" w:space="0" w:color="auto"/>
        <w:left w:val="none" w:sz="0" w:space="0" w:color="auto"/>
        <w:bottom w:val="none" w:sz="0" w:space="0" w:color="auto"/>
        <w:right w:val="none" w:sz="0" w:space="0" w:color="auto"/>
      </w:divBdr>
    </w:div>
    <w:div w:id="1417943359">
      <w:bodyDiv w:val="1"/>
      <w:marLeft w:val="0"/>
      <w:marRight w:val="0"/>
      <w:marTop w:val="0"/>
      <w:marBottom w:val="0"/>
      <w:divBdr>
        <w:top w:val="none" w:sz="0" w:space="0" w:color="auto"/>
        <w:left w:val="none" w:sz="0" w:space="0" w:color="auto"/>
        <w:bottom w:val="none" w:sz="0" w:space="0" w:color="auto"/>
        <w:right w:val="none" w:sz="0" w:space="0" w:color="auto"/>
      </w:divBdr>
    </w:div>
    <w:div w:id="1532568759">
      <w:bodyDiv w:val="1"/>
      <w:marLeft w:val="0"/>
      <w:marRight w:val="0"/>
      <w:marTop w:val="0"/>
      <w:marBottom w:val="0"/>
      <w:divBdr>
        <w:top w:val="none" w:sz="0" w:space="0" w:color="auto"/>
        <w:left w:val="none" w:sz="0" w:space="0" w:color="auto"/>
        <w:bottom w:val="none" w:sz="0" w:space="0" w:color="auto"/>
        <w:right w:val="none" w:sz="0" w:space="0" w:color="auto"/>
      </w:divBdr>
    </w:div>
    <w:div w:id="2037348981">
      <w:bodyDiv w:val="1"/>
      <w:marLeft w:val="0"/>
      <w:marRight w:val="0"/>
      <w:marTop w:val="0"/>
      <w:marBottom w:val="0"/>
      <w:divBdr>
        <w:top w:val="none" w:sz="0" w:space="0" w:color="auto"/>
        <w:left w:val="none" w:sz="0" w:space="0" w:color="auto"/>
        <w:bottom w:val="none" w:sz="0" w:space="0" w:color="auto"/>
        <w:right w:val="none" w:sz="0" w:space="0" w:color="auto"/>
      </w:divBdr>
      <w:divsChild>
        <w:div w:id="1514685805">
          <w:marLeft w:val="576"/>
          <w:marRight w:val="0"/>
          <w:marTop w:val="80"/>
          <w:marBottom w:val="0"/>
          <w:divBdr>
            <w:top w:val="none" w:sz="0" w:space="0" w:color="auto"/>
            <w:left w:val="none" w:sz="0" w:space="0" w:color="auto"/>
            <w:bottom w:val="none" w:sz="0" w:space="0" w:color="auto"/>
            <w:right w:val="none" w:sz="0" w:space="0" w:color="auto"/>
          </w:divBdr>
        </w:div>
        <w:div w:id="1747144241">
          <w:marLeft w:val="576"/>
          <w:marRight w:val="0"/>
          <w:marTop w:val="80"/>
          <w:marBottom w:val="0"/>
          <w:divBdr>
            <w:top w:val="none" w:sz="0" w:space="0" w:color="auto"/>
            <w:left w:val="none" w:sz="0" w:space="0" w:color="auto"/>
            <w:bottom w:val="none" w:sz="0" w:space="0" w:color="auto"/>
            <w:right w:val="none" w:sz="0" w:space="0" w:color="auto"/>
          </w:divBdr>
        </w:div>
        <w:div w:id="229006815">
          <w:marLeft w:val="576"/>
          <w:marRight w:val="0"/>
          <w:marTop w:val="80"/>
          <w:marBottom w:val="0"/>
          <w:divBdr>
            <w:top w:val="none" w:sz="0" w:space="0" w:color="auto"/>
            <w:left w:val="none" w:sz="0" w:space="0" w:color="auto"/>
            <w:bottom w:val="none" w:sz="0" w:space="0" w:color="auto"/>
            <w:right w:val="none" w:sz="0" w:space="0" w:color="auto"/>
          </w:divBdr>
        </w:div>
        <w:div w:id="384379424">
          <w:marLeft w:val="576"/>
          <w:marRight w:val="0"/>
          <w:marTop w:val="80"/>
          <w:marBottom w:val="0"/>
          <w:divBdr>
            <w:top w:val="none" w:sz="0" w:space="0" w:color="auto"/>
            <w:left w:val="none" w:sz="0" w:space="0" w:color="auto"/>
            <w:bottom w:val="none" w:sz="0" w:space="0" w:color="auto"/>
            <w:right w:val="none" w:sz="0" w:space="0" w:color="auto"/>
          </w:divBdr>
        </w:div>
        <w:div w:id="209620106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chart" Target="charts/chart4.xml"/><Relationship Id="rId10" Type="http://schemas.openxmlformats.org/officeDocument/2006/relationships/header" Target="header2.xml"/><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chart" Target="charts/chart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andro\Desktop\LANUS\Damian%202020%20Usar%20hasta%20nuevo%20aviso\Curtiembres\6%20Empleo.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andro\Desktop\LANUS\Damian%202020%20Usar%20hasta%20nuevo%20aviso\Curtiembres\6%20Empleo.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andro\Desktop\LANUS\Damian%202020%20Usar%20hasta%20nuevo%20aviso\Curtiembres\6%20Empleo.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andro\Desktop\LANUS\Damian%202020%20Usar%20hasta%20nuevo%20aviso\Curtiembres\6%20Empleo.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827910129769518E-2"/>
          <c:y val="6.3511547554100739E-2"/>
          <c:w val="0.87307556975918399"/>
          <c:h val="0.70613475177304963"/>
        </c:manualLayout>
      </c:layout>
      <c:lineChart>
        <c:grouping val="standard"/>
        <c:varyColors val="0"/>
        <c:ser>
          <c:idx val="0"/>
          <c:order val="0"/>
          <c:tx>
            <c:strRef>
              <c:f>Hoja1!$B$4</c:f>
              <c:strCache>
                <c:ptCount val="1"/>
                <c:pt idx="0">
                  <c:v>Curtido y terminación de cueros</c:v>
                </c:pt>
              </c:strCache>
            </c:strRef>
          </c:tx>
          <c:spPr>
            <a:ln w="28575" cap="rnd">
              <a:solidFill>
                <a:schemeClr val="accent1"/>
              </a:solidFill>
              <a:round/>
            </a:ln>
            <a:effectLst/>
          </c:spPr>
          <c:marker>
            <c:symbol val="square"/>
            <c:size val="5"/>
            <c:spPr>
              <a:solidFill>
                <a:schemeClr val="accent2"/>
              </a:solidFill>
              <a:ln w="9525">
                <a:solidFill>
                  <a:schemeClr val="accent2"/>
                </a:solidFill>
              </a:ln>
              <a:effectLst/>
            </c:spPr>
          </c:marker>
          <c:dLbls>
            <c:dLbl>
              <c:idx val="24"/>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MX"/>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Hoja1!$C$2:$AA$3</c:f>
              <c:multiLvlStrCache>
                <c:ptCount val="25"/>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lvl>
                <c:lvl>
                  <c:pt idx="0">
                    <c:v>2015</c:v>
                  </c:pt>
                  <c:pt idx="4">
                    <c:v>2016</c:v>
                  </c:pt>
                  <c:pt idx="8">
                    <c:v>2017</c:v>
                  </c:pt>
                  <c:pt idx="12">
                    <c:v>2018</c:v>
                  </c:pt>
                  <c:pt idx="16">
                    <c:v>2019</c:v>
                  </c:pt>
                  <c:pt idx="20">
                    <c:v>2020</c:v>
                  </c:pt>
                  <c:pt idx="24">
                    <c:v>2021</c:v>
                  </c:pt>
                </c:lvl>
              </c:multiLvlStrCache>
            </c:multiLvlStrRef>
          </c:cat>
          <c:val>
            <c:numRef>
              <c:f>Hoja1!$C$4:$AA$4</c:f>
              <c:numCache>
                <c:formatCode>#,##0</c:formatCode>
                <c:ptCount val="25"/>
                <c:pt idx="0">
                  <c:v>9538</c:v>
                </c:pt>
                <c:pt idx="1">
                  <c:v>9425</c:v>
                </c:pt>
                <c:pt idx="2">
                  <c:v>9392</c:v>
                </c:pt>
                <c:pt idx="3">
                  <c:v>9438</c:v>
                </c:pt>
                <c:pt idx="4">
                  <c:v>9417</c:v>
                </c:pt>
                <c:pt idx="5">
                  <c:v>9268</c:v>
                </c:pt>
                <c:pt idx="6">
                  <c:v>9252</c:v>
                </c:pt>
                <c:pt idx="7">
                  <c:v>9204</c:v>
                </c:pt>
                <c:pt idx="8">
                  <c:v>9178</c:v>
                </c:pt>
                <c:pt idx="9">
                  <c:v>8952</c:v>
                </c:pt>
                <c:pt idx="10">
                  <c:v>8766</c:v>
                </c:pt>
                <c:pt idx="11">
                  <c:v>8673</c:v>
                </c:pt>
                <c:pt idx="12">
                  <c:v>8738</c:v>
                </c:pt>
                <c:pt idx="13">
                  <c:v>8586</c:v>
                </c:pt>
                <c:pt idx="14">
                  <c:v>8515</c:v>
                </c:pt>
                <c:pt idx="15">
                  <c:v>8483</c:v>
                </c:pt>
                <c:pt idx="16">
                  <c:v>8525</c:v>
                </c:pt>
                <c:pt idx="17">
                  <c:v>8381</c:v>
                </c:pt>
                <c:pt idx="18">
                  <c:v>8125</c:v>
                </c:pt>
                <c:pt idx="19">
                  <c:v>8108</c:v>
                </c:pt>
                <c:pt idx="20">
                  <c:v>8059</c:v>
                </c:pt>
                <c:pt idx="21" formatCode="General">
                  <c:v>7861</c:v>
                </c:pt>
                <c:pt idx="22">
                  <c:v>7853</c:v>
                </c:pt>
                <c:pt idx="23">
                  <c:v>7898</c:v>
                </c:pt>
                <c:pt idx="24">
                  <c:v>8002</c:v>
                </c:pt>
              </c:numCache>
            </c:numRef>
          </c:val>
          <c:smooth val="0"/>
          <c:extLst xmlns:c16r2="http://schemas.microsoft.com/office/drawing/2015/06/chart">
            <c:ext xmlns:c16="http://schemas.microsoft.com/office/drawing/2014/chart" uri="{C3380CC4-5D6E-409C-BE32-E72D297353CC}">
              <c16:uniqueId val="{00000003-9F51-4BD2-8281-7A9F51A31DD0}"/>
            </c:ext>
          </c:extLst>
        </c:ser>
        <c:dLbls>
          <c:showLegendKey val="0"/>
          <c:showVal val="0"/>
          <c:showCatName val="0"/>
          <c:showSerName val="0"/>
          <c:showPercent val="0"/>
          <c:showBubbleSize val="0"/>
        </c:dLbls>
        <c:marker val="1"/>
        <c:smooth val="0"/>
        <c:axId val="-1702234016"/>
        <c:axId val="-1702230208"/>
      </c:lineChart>
      <c:catAx>
        <c:axId val="-170223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1702230208"/>
        <c:crosses val="autoZero"/>
        <c:auto val="1"/>
        <c:lblAlgn val="ctr"/>
        <c:lblOffset val="100"/>
        <c:noMultiLvlLbl val="0"/>
      </c:catAx>
      <c:valAx>
        <c:axId val="-1702230208"/>
        <c:scaling>
          <c:orientation val="minMax"/>
        </c:scaling>
        <c:delete val="0"/>
        <c:axPos val="l"/>
        <c:majorGridlines>
          <c:spPr>
            <a:ln w="9525" cap="flat" cmpd="sng" algn="ctr">
              <a:solidFill>
                <a:schemeClr val="bg1">
                  <a:lumMod val="65000"/>
                </a:schemeClr>
              </a:solidFill>
              <a:prstDash val="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17022340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s-MX"/>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480631415843502E-2"/>
          <c:y val="6.3511547554100739E-2"/>
          <c:w val="0.87627332300342176"/>
          <c:h val="0.70613475177304963"/>
        </c:manualLayout>
      </c:layout>
      <c:lineChart>
        <c:grouping val="standard"/>
        <c:varyColors val="0"/>
        <c:ser>
          <c:idx val="0"/>
          <c:order val="0"/>
          <c:tx>
            <c:strRef>
              <c:f>Hoja1!$B$5</c:f>
              <c:strCache>
                <c:ptCount val="1"/>
                <c:pt idx="0">
                  <c:v>Fabricación de maletas, bolsos de mano y similares, artículos de talabartería y  artículos de cuero n.c.p.</c:v>
                </c:pt>
              </c:strCache>
            </c:strRef>
          </c:tx>
          <c:spPr>
            <a:ln w="28575" cap="rnd">
              <a:solidFill>
                <a:schemeClr val="accent1"/>
              </a:solidFill>
              <a:round/>
            </a:ln>
            <a:effectLst/>
          </c:spPr>
          <c:marker>
            <c:symbol val="square"/>
            <c:size val="5"/>
            <c:spPr>
              <a:solidFill>
                <a:schemeClr val="accent2"/>
              </a:solidFill>
              <a:ln w="9525">
                <a:solidFill>
                  <a:schemeClr val="accent2"/>
                </a:solidFill>
              </a:ln>
              <a:effectLst/>
            </c:spPr>
          </c:marker>
          <c:dLbls>
            <c:dLbl>
              <c:idx val="24"/>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Hoja1!$C$2:$AA$3</c:f>
              <c:multiLvlStrCache>
                <c:ptCount val="25"/>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lvl>
                <c:lvl>
                  <c:pt idx="0">
                    <c:v>2015</c:v>
                  </c:pt>
                  <c:pt idx="4">
                    <c:v>2016</c:v>
                  </c:pt>
                  <c:pt idx="8">
                    <c:v>2017</c:v>
                  </c:pt>
                  <c:pt idx="12">
                    <c:v>2018</c:v>
                  </c:pt>
                  <c:pt idx="16">
                    <c:v>2019</c:v>
                  </c:pt>
                  <c:pt idx="20">
                    <c:v>2020</c:v>
                  </c:pt>
                  <c:pt idx="24">
                    <c:v>2021</c:v>
                  </c:pt>
                </c:lvl>
              </c:multiLvlStrCache>
            </c:multiLvlStrRef>
          </c:cat>
          <c:val>
            <c:numRef>
              <c:f>Hoja1!$C$5:$AA$5</c:f>
              <c:numCache>
                <c:formatCode>#,##0</c:formatCode>
                <c:ptCount val="25"/>
                <c:pt idx="0">
                  <c:v>2876</c:v>
                </c:pt>
                <c:pt idx="1">
                  <c:v>2894</c:v>
                </c:pt>
                <c:pt idx="2">
                  <c:v>2882</c:v>
                </c:pt>
                <c:pt idx="3">
                  <c:v>2934</c:v>
                </c:pt>
                <c:pt idx="4">
                  <c:v>2804</c:v>
                </c:pt>
                <c:pt idx="5">
                  <c:v>2700</c:v>
                </c:pt>
                <c:pt idx="6">
                  <c:v>2648</c:v>
                </c:pt>
                <c:pt idx="7">
                  <c:v>2677</c:v>
                </c:pt>
                <c:pt idx="8">
                  <c:v>2572</c:v>
                </c:pt>
                <c:pt idx="9">
                  <c:v>2466</c:v>
                </c:pt>
                <c:pt idx="10">
                  <c:v>2357</c:v>
                </c:pt>
                <c:pt idx="11">
                  <c:v>2393</c:v>
                </c:pt>
                <c:pt idx="12">
                  <c:v>2369</c:v>
                </c:pt>
                <c:pt idx="13">
                  <c:v>2299</c:v>
                </c:pt>
                <c:pt idx="14">
                  <c:v>2243</c:v>
                </c:pt>
                <c:pt idx="15">
                  <c:v>2216</c:v>
                </c:pt>
                <c:pt idx="16">
                  <c:v>2205</c:v>
                </c:pt>
                <c:pt idx="17">
                  <c:v>2180</c:v>
                </c:pt>
                <c:pt idx="18">
                  <c:v>2209</c:v>
                </c:pt>
                <c:pt idx="19">
                  <c:v>2037</c:v>
                </c:pt>
                <c:pt idx="20">
                  <c:v>1969</c:v>
                </c:pt>
                <c:pt idx="21" formatCode="General">
                  <c:v>1899</c:v>
                </c:pt>
                <c:pt idx="22">
                  <c:v>1828</c:v>
                </c:pt>
                <c:pt idx="23">
                  <c:v>1795</c:v>
                </c:pt>
                <c:pt idx="24">
                  <c:v>1672</c:v>
                </c:pt>
              </c:numCache>
            </c:numRef>
          </c:val>
          <c:smooth val="0"/>
          <c:extLst xmlns:c16r2="http://schemas.microsoft.com/office/drawing/2015/06/chart">
            <c:ext xmlns:c16="http://schemas.microsoft.com/office/drawing/2014/chart" uri="{C3380CC4-5D6E-409C-BE32-E72D297353CC}">
              <c16:uniqueId val="{00000003-1C1C-45DC-BB42-56A14E043186}"/>
            </c:ext>
          </c:extLst>
        </c:ser>
        <c:dLbls>
          <c:showLegendKey val="0"/>
          <c:showVal val="0"/>
          <c:showCatName val="0"/>
          <c:showSerName val="0"/>
          <c:showPercent val="0"/>
          <c:showBubbleSize val="0"/>
        </c:dLbls>
        <c:marker val="1"/>
        <c:smooth val="0"/>
        <c:axId val="-1775863472"/>
        <c:axId val="-1775859664"/>
      </c:lineChart>
      <c:catAx>
        <c:axId val="-177586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1775859664"/>
        <c:crosses val="autoZero"/>
        <c:auto val="1"/>
        <c:lblAlgn val="ctr"/>
        <c:lblOffset val="100"/>
        <c:noMultiLvlLbl val="0"/>
      </c:catAx>
      <c:valAx>
        <c:axId val="-1775859664"/>
        <c:scaling>
          <c:orientation val="minMax"/>
        </c:scaling>
        <c:delete val="0"/>
        <c:axPos val="l"/>
        <c:majorGridlines>
          <c:spPr>
            <a:ln w="9525" cap="flat" cmpd="sng" algn="ctr">
              <a:solidFill>
                <a:schemeClr val="bg1">
                  <a:lumMod val="65000"/>
                </a:schemeClr>
              </a:solidFill>
              <a:prstDash val="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17758634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s-MX"/>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827910129769518E-2"/>
          <c:y val="6.3511547554100739E-2"/>
          <c:w val="0.86897588611272514"/>
          <c:h val="0.70613475177304963"/>
        </c:manualLayout>
      </c:layout>
      <c:lineChart>
        <c:grouping val="standard"/>
        <c:varyColors val="0"/>
        <c:ser>
          <c:idx val="0"/>
          <c:order val="0"/>
          <c:tx>
            <c:strRef>
              <c:f>Hoja1!$B$6</c:f>
              <c:strCache>
                <c:ptCount val="1"/>
                <c:pt idx="0">
                  <c:v>Fabricación de calzado y de sus partes</c:v>
                </c:pt>
              </c:strCache>
            </c:strRef>
          </c:tx>
          <c:spPr>
            <a:ln w="28575" cap="rnd">
              <a:solidFill>
                <a:schemeClr val="accent1"/>
              </a:solidFill>
              <a:round/>
            </a:ln>
            <a:effectLst/>
          </c:spPr>
          <c:marker>
            <c:symbol val="square"/>
            <c:size val="5"/>
            <c:spPr>
              <a:solidFill>
                <a:schemeClr val="accent2"/>
              </a:solidFill>
              <a:ln w="9525">
                <a:solidFill>
                  <a:schemeClr val="accent2"/>
                </a:solidFill>
              </a:ln>
              <a:effectLst/>
            </c:spPr>
          </c:marker>
          <c:dLbls>
            <c:dLbl>
              <c:idx val="24"/>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Hoja1!$C$1:$AA$3</c:f>
              <c:multiLvlStrCache>
                <c:ptCount val="25"/>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lvl>
                <c:lvl>
                  <c:pt idx="0">
                    <c:v>2015</c:v>
                  </c:pt>
                  <c:pt idx="4">
                    <c:v>2016</c:v>
                  </c:pt>
                  <c:pt idx="8">
                    <c:v>2017</c:v>
                  </c:pt>
                  <c:pt idx="12">
                    <c:v>2018</c:v>
                  </c:pt>
                  <c:pt idx="16">
                    <c:v>2019</c:v>
                  </c:pt>
                  <c:pt idx="20">
                    <c:v>2020</c:v>
                  </c:pt>
                  <c:pt idx="24">
                    <c:v>2021</c:v>
                  </c:pt>
                </c:lvl>
              </c:multiLvlStrCache>
            </c:multiLvlStrRef>
          </c:cat>
          <c:val>
            <c:numRef>
              <c:f>Hoja1!$C$6:$AA$6</c:f>
              <c:numCache>
                <c:formatCode>#,##0</c:formatCode>
                <c:ptCount val="25"/>
                <c:pt idx="0">
                  <c:v>30149</c:v>
                </c:pt>
                <c:pt idx="1">
                  <c:v>30806</c:v>
                </c:pt>
                <c:pt idx="2">
                  <c:v>31262</c:v>
                </c:pt>
                <c:pt idx="3">
                  <c:v>31443</c:v>
                </c:pt>
                <c:pt idx="4">
                  <c:v>31320</c:v>
                </c:pt>
                <c:pt idx="5">
                  <c:v>31197</c:v>
                </c:pt>
                <c:pt idx="6">
                  <c:v>30708</c:v>
                </c:pt>
                <c:pt idx="7">
                  <c:v>29816</c:v>
                </c:pt>
                <c:pt idx="8">
                  <c:v>28394</c:v>
                </c:pt>
                <c:pt idx="9">
                  <c:v>27385</c:v>
                </c:pt>
                <c:pt idx="10">
                  <c:v>26155</c:v>
                </c:pt>
                <c:pt idx="11">
                  <c:v>24844</c:v>
                </c:pt>
                <c:pt idx="12">
                  <c:v>23393</c:v>
                </c:pt>
                <c:pt idx="13">
                  <c:v>22701</c:v>
                </c:pt>
                <c:pt idx="14">
                  <c:v>21489</c:v>
                </c:pt>
                <c:pt idx="15">
                  <c:v>20040</c:v>
                </c:pt>
                <c:pt idx="16">
                  <c:v>18476</c:v>
                </c:pt>
                <c:pt idx="17">
                  <c:v>17794</c:v>
                </c:pt>
                <c:pt idx="18">
                  <c:v>17163</c:v>
                </c:pt>
                <c:pt idx="19">
                  <c:v>16642</c:v>
                </c:pt>
                <c:pt idx="20">
                  <c:v>16180</c:v>
                </c:pt>
                <c:pt idx="21" formatCode="General">
                  <c:v>15458</c:v>
                </c:pt>
                <c:pt idx="22">
                  <c:v>15305</c:v>
                </c:pt>
                <c:pt idx="23">
                  <c:v>14962</c:v>
                </c:pt>
                <c:pt idx="24">
                  <c:v>14833</c:v>
                </c:pt>
              </c:numCache>
            </c:numRef>
          </c:val>
          <c:smooth val="0"/>
          <c:extLst xmlns:c16r2="http://schemas.microsoft.com/office/drawing/2015/06/chart">
            <c:ext xmlns:c16="http://schemas.microsoft.com/office/drawing/2014/chart" uri="{C3380CC4-5D6E-409C-BE32-E72D297353CC}">
              <c16:uniqueId val="{00000003-48D0-455F-B433-A62396964967}"/>
            </c:ext>
          </c:extLst>
        </c:ser>
        <c:dLbls>
          <c:showLegendKey val="0"/>
          <c:showVal val="0"/>
          <c:showCatName val="0"/>
          <c:showSerName val="0"/>
          <c:showPercent val="0"/>
          <c:showBubbleSize val="0"/>
        </c:dLbls>
        <c:marker val="1"/>
        <c:smooth val="0"/>
        <c:axId val="-1775870000"/>
        <c:axId val="-1775859120"/>
      </c:lineChart>
      <c:catAx>
        <c:axId val="-177587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1775859120"/>
        <c:crosses val="autoZero"/>
        <c:auto val="1"/>
        <c:lblAlgn val="ctr"/>
        <c:lblOffset val="100"/>
        <c:noMultiLvlLbl val="0"/>
      </c:catAx>
      <c:valAx>
        <c:axId val="-1775859120"/>
        <c:scaling>
          <c:orientation val="minMax"/>
        </c:scaling>
        <c:delete val="0"/>
        <c:axPos val="l"/>
        <c:majorGridlines>
          <c:spPr>
            <a:ln w="9525" cap="flat" cmpd="sng" algn="ctr">
              <a:solidFill>
                <a:schemeClr val="bg1">
                  <a:lumMod val="65000"/>
                </a:schemeClr>
              </a:solidFill>
              <a:prstDash val="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1775870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s-MX"/>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827910129769518E-2"/>
          <c:y val="6.3511547554100739E-2"/>
          <c:w val="0.86897588611272514"/>
          <c:h val="0.70613475177304963"/>
        </c:manualLayout>
      </c:layout>
      <c:lineChart>
        <c:grouping val="standard"/>
        <c:varyColors val="0"/>
        <c:ser>
          <c:idx val="0"/>
          <c:order val="0"/>
          <c:tx>
            <c:strRef>
              <c:f>Hoja1!$B$7</c:f>
              <c:strCache>
                <c:ptCount val="1"/>
                <c:pt idx="0">
                  <c:v>Fabricación de vehículos automotores</c:v>
                </c:pt>
              </c:strCache>
            </c:strRef>
          </c:tx>
          <c:spPr>
            <a:ln w="28575" cap="rnd">
              <a:solidFill>
                <a:schemeClr val="accent1"/>
              </a:solidFill>
              <a:round/>
            </a:ln>
            <a:effectLst/>
          </c:spPr>
          <c:marker>
            <c:symbol val="square"/>
            <c:size val="5"/>
            <c:spPr>
              <a:solidFill>
                <a:schemeClr val="accent2"/>
              </a:solidFill>
              <a:ln w="9525">
                <a:solidFill>
                  <a:schemeClr val="accent2"/>
                </a:solidFill>
              </a:ln>
              <a:effectLst/>
            </c:spPr>
          </c:marker>
          <c:dLbls>
            <c:dLbl>
              <c:idx val="24"/>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MX"/>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Hoja1!$C$2:$AA$3</c:f>
              <c:multiLvlStrCache>
                <c:ptCount val="25"/>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lvl>
                <c:lvl>
                  <c:pt idx="0">
                    <c:v>2015</c:v>
                  </c:pt>
                  <c:pt idx="4">
                    <c:v>2016</c:v>
                  </c:pt>
                  <c:pt idx="8">
                    <c:v>2017</c:v>
                  </c:pt>
                  <c:pt idx="12">
                    <c:v>2018</c:v>
                  </c:pt>
                  <c:pt idx="16">
                    <c:v>2019</c:v>
                  </c:pt>
                  <c:pt idx="20">
                    <c:v>2020</c:v>
                  </c:pt>
                  <c:pt idx="24">
                    <c:v>2021</c:v>
                  </c:pt>
                </c:lvl>
              </c:multiLvlStrCache>
            </c:multiLvlStrRef>
          </c:cat>
          <c:val>
            <c:numRef>
              <c:f>Hoja1!$C$7:$AA$7</c:f>
              <c:numCache>
                <c:formatCode>#,##0</c:formatCode>
                <c:ptCount val="25"/>
                <c:pt idx="0">
                  <c:v>30906</c:v>
                </c:pt>
                <c:pt idx="1">
                  <c:v>30850</c:v>
                </c:pt>
                <c:pt idx="2">
                  <c:v>30613</c:v>
                </c:pt>
                <c:pt idx="3">
                  <c:v>30186</c:v>
                </c:pt>
                <c:pt idx="4">
                  <c:v>30373</c:v>
                </c:pt>
                <c:pt idx="5">
                  <c:v>29883</c:v>
                </c:pt>
                <c:pt idx="6">
                  <c:v>29113</c:v>
                </c:pt>
                <c:pt idx="7">
                  <c:v>28652</c:v>
                </c:pt>
                <c:pt idx="8">
                  <c:v>29281</c:v>
                </c:pt>
                <c:pt idx="9">
                  <c:v>28989</c:v>
                </c:pt>
                <c:pt idx="10">
                  <c:v>28556</c:v>
                </c:pt>
                <c:pt idx="11">
                  <c:v>28870</c:v>
                </c:pt>
                <c:pt idx="12">
                  <c:v>28829</c:v>
                </c:pt>
                <c:pt idx="13">
                  <c:v>28972</c:v>
                </c:pt>
                <c:pt idx="14">
                  <c:v>28750</c:v>
                </c:pt>
                <c:pt idx="15">
                  <c:v>28325</c:v>
                </c:pt>
                <c:pt idx="16">
                  <c:v>27690</c:v>
                </c:pt>
                <c:pt idx="17">
                  <c:v>26944</c:v>
                </c:pt>
                <c:pt idx="18">
                  <c:v>26203</c:v>
                </c:pt>
                <c:pt idx="19">
                  <c:v>25666</c:v>
                </c:pt>
                <c:pt idx="20">
                  <c:v>25397</c:v>
                </c:pt>
                <c:pt idx="21" formatCode="General">
                  <c:v>25097</c:v>
                </c:pt>
                <c:pt idx="22">
                  <c:v>25125</c:v>
                </c:pt>
                <c:pt idx="23">
                  <c:v>24749</c:v>
                </c:pt>
                <c:pt idx="24">
                  <c:v>24506</c:v>
                </c:pt>
              </c:numCache>
            </c:numRef>
          </c:val>
          <c:smooth val="0"/>
          <c:extLst xmlns:c16r2="http://schemas.microsoft.com/office/drawing/2015/06/chart">
            <c:ext xmlns:c16="http://schemas.microsoft.com/office/drawing/2014/chart" uri="{C3380CC4-5D6E-409C-BE32-E72D297353CC}">
              <c16:uniqueId val="{00000003-9189-4DAC-8C4A-54F1D31FE94F}"/>
            </c:ext>
          </c:extLst>
        </c:ser>
        <c:dLbls>
          <c:showLegendKey val="0"/>
          <c:showVal val="0"/>
          <c:showCatName val="0"/>
          <c:showSerName val="0"/>
          <c:showPercent val="0"/>
          <c:showBubbleSize val="0"/>
        </c:dLbls>
        <c:marker val="1"/>
        <c:smooth val="0"/>
        <c:axId val="-1689711968"/>
        <c:axId val="-1689709792"/>
      </c:lineChart>
      <c:catAx>
        <c:axId val="-168971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1689709792"/>
        <c:crosses val="autoZero"/>
        <c:auto val="1"/>
        <c:lblAlgn val="ctr"/>
        <c:lblOffset val="100"/>
        <c:noMultiLvlLbl val="0"/>
      </c:catAx>
      <c:valAx>
        <c:axId val="-1689709792"/>
        <c:scaling>
          <c:orientation val="minMax"/>
        </c:scaling>
        <c:delete val="0"/>
        <c:axPos val="l"/>
        <c:majorGridlines>
          <c:spPr>
            <a:ln w="9525" cap="flat" cmpd="sng" algn="ctr">
              <a:solidFill>
                <a:schemeClr val="bg1">
                  <a:lumMod val="65000"/>
                </a:schemeClr>
              </a:solidFill>
              <a:prstDash val="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1689711968"/>
        <c:crosses val="autoZero"/>
        <c:crossBetween val="between"/>
        <c:majorUnit val="10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s-MX"/>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0.103</cdr:x>
      <cdr:y>0.39786</cdr:y>
    </cdr:from>
    <cdr:to>
      <cdr:x>0.74348</cdr:x>
      <cdr:y>0.668</cdr:y>
    </cdr:to>
    <cdr:sp macro="" textlink="">
      <cdr:nvSpPr>
        <cdr:cNvPr id="2" name="CuadroTexto 19">
          <a:extLst xmlns:a="http://schemas.openxmlformats.org/drawingml/2006/main">
            <a:ext uri="{FF2B5EF4-FFF2-40B4-BE49-F238E27FC236}">
              <a16:creationId xmlns:lc="http://schemas.openxmlformats.org/drawingml/2006/lockedCanvas" xmlns="" xmlns:r="http://schemas.openxmlformats.org/officeDocument/2006/relationships" xmlns:p="http://schemas.openxmlformats.org/presentationml/2006/main" xmlns:a16="http://schemas.microsoft.com/office/drawing/2014/main" id="{8628C040-F3F2-48B0-A279-5D22527ABBAE}"/>
            </a:ext>
          </a:extLst>
        </cdr:cNvPr>
        <cdr:cNvSpPr txBox="1"/>
      </cdr:nvSpPr>
      <cdr:spPr>
        <a:xfrm xmlns:a="http://schemas.openxmlformats.org/drawingml/2006/main">
          <a:off x="631825" y="755650"/>
          <a:ext cx="3928745" cy="513080"/>
        </a:xfrm>
        <a:prstGeom xmlns:a="http://schemas.openxmlformats.org/drawingml/2006/main" prst="rect">
          <a:avLst/>
        </a:prstGeom>
        <a:solidFill xmlns:a="http://schemas.openxmlformats.org/drawingml/2006/main">
          <a:schemeClr val="accent2">
            <a:lumMod val="20000"/>
            <a:lumOff val="80000"/>
          </a:schemeClr>
        </a:solidFill>
        <a:ln xmlns:a="http://schemas.openxmlformats.org/drawingml/2006/main">
          <a:solidFill>
            <a:schemeClr val="tx1"/>
          </a:solidFill>
        </a:ln>
      </cdr:spPr>
      <cdr:txBody>
        <a:bodyPr xmlns:a="http://schemas.openxmlformats.org/drawingml/2006/main" wrap="square" rtlCol="0">
          <a:noAutofit/>
        </a:bodyPr>
        <a:lstStyle xmlns:a="http://schemas.openxmlformats.org/drawingml/2006/main"/>
        <a:p xmlns:a="http://schemas.openxmlformats.org/drawingml/2006/main">
          <a:r>
            <a:rPr lang="es-AR" sz="1600" b="1"/>
            <a:t>Vs Trimestre anterior: </a:t>
          </a:r>
          <a:r>
            <a:rPr lang="es-AR" sz="1600" b="1">
              <a:solidFill>
                <a:schemeClr val="accent6">
                  <a:lumMod val="75000"/>
                </a:schemeClr>
              </a:solidFill>
            </a:rPr>
            <a:t>1.3%</a:t>
          </a:r>
        </a:p>
        <a:p xmlns:a="http://schemas.openxmlformats.org/drawingml/2006/main">
          <a:r>
            <a:rPr lang="es-AR" sz="1600" b="1"/>
            <a:t>Vs mismo</a:t>
          </a:r>
          <a:r>
            <a:rPr lang="es-AR" sz="1600" b="1" baseline="0"/>
            <a:t> Trimestre año pasado: </a:t>
          </a:r>
          <a:r>
            <a:rPr lang="es-AR" sz="1600" b="1" baseline="0">
              <a:solidFill>
                <a:srgbClr val="FF0000"/>
              </a:solidFill>
            </a:rPr>
            <a:t>-0.7%</a:t>
          </a:r>
          <a:endParaRPr lang="es-AR" sz="1600" b="1">
            <a:solidFill>
              <a:srgbClr val="FF0000"/>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0.11215</cdr:x>
      <cdr:y>0.42617</cdr:y>
    </cdr:from>
    <cdr:to>
      <cdr:x>0.75764</cdr:x>
      <cdr:y>0.69732</cdr:y>
    </cdr:to>
    <cdr:sp macro="" textlink="">
      <cdr:nvSpPr>
        <cdr:cNvPr id="2" name="CuadroTexto 19">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r="http://schemas.openxmlformats.org/officeDocument/2006/relationships" xmlns="" id="{8628C040-F3F2-48B0-A279-5D22527ABBAE}"/>
            </a:ext>
          </a:extLst>
        </cdr:cNvPr>
        <cdr:cNvSpPr txBox="1"/>
      </cdr:nvSpPr>
      <cdr:spPr>
        <a:xfrm xmlns:a="http://schemas.openxmlformats.org/drawingml/2006/main">
          <a:off x="682625" y="806450"/>
          <a:ext cx="3928745" cy="513080"/>
        </a:xfrm>
        <a:prstGeom xmlns:a="http://schemas.openxmlformats.org/drawingml/2006/main" prst="rect">
          <a:avLst/>
        </a:prstGeom>
        <a:solidFill xmlns:a="http://schemas.openxmlformats.org/drawingml/2006/main">
          <a:schemeClr val="accent2">
            <a:lumMod val="20000"/>
            <a:lumOff val="80000"/>
          </a:schemeClr>
        </a:solidFill>
        <a:ln xmlns:a="http://schemas.openxmlformats.org/drawingml/2006/main">
          <a:solidFill>
            <a:schemeClr val="tx1"/>
          </a:solidFill>
        </a:ln>
      </cdr:spPr>
      <cdr:txBody>
        <a:bodyPr xmlns:a="http://schemas.openxmlformats.org/drawingml/2006/main" wrap="square" rtlCol="0">
          <a:noAutofit/>
        </a:bodyPr>
        <a:lstStyle xmlns:a="http://schemas.openxmlformats.org/drawingml/2006/main"/>
        <a:p xmlns:a="http://schemas.openxmlformats.org/drawingml/2006/main">
          <a:r>
            <a:rPr lang="es-AR" sz="1600" b="1"/>
            <a:t>Vs Trimestre anterior: </a:t>
          </a:r>
          <a:r>
            <a:rPr lang="es-AR" sz="1600" b="1">
              <a:solidFill>
                <a:srgbClr val="FF0000"/>
              </a:solidFill>
            </a:rPr>
            <a:t>-6.8%</a:t>
          </a:r>
        </a:p>
        <a:p xmlns:a="http://schemas.openxmlformats.org/drawingml/2006/main">
          <a:r>
            <a:rPr lang="es-AR" sz="1600" b="1"/>
            <a:t>Vs mismo</a:t>
          </a:r>
          <a:r>
            <a:rPr lang="es-AR" sz="1600" b="1" baseline="0"/>
            <a:t> Trimestre año pasado: </a:t>
          </a:r>
          <a:r>
            <a:rPr lang="es-AR" sz="1600" b="1" baseline="0">
              <a:solidFill>
                <a:srgbClr val="FF0000"/>
              </a:solidFill>
            </a:rPr>
            <a:t>-15.1%</a:t>
          </a:r>
          <a:endParaRPr lang="es-AR" sz="1600" b="1">
            <a:solidFill>
              <a:srgbClr val="FF0000"/>
            </a:solidFill>
          </a:endParaRPr>
        </a:p>
        <a:p xmlns:a="http://schemas.openxmlformats.org/drawingml/2006/main">
          <a:endParaRPr lang="es-AR"/>
        </a:p>
      </cdr:txBody>
    </cdr:sp>
  </cdr:relSizeAnchor>
</c:userShapes>
</file>

<file path=word/drawings/drawing3.xml><?xml version="1.0" encoding="utf-8"?>
<c:userShapes xmlns:c="http://schemas.openxmlformats.org/drawingml/2006/chart">
  <cdr:relSizeAnchor xmlns:cdr="http://schemas.openxmlformats.org/drawingml/2006/chartDrawing">
    <cdr:from>
      <cdr:x>0.12379</cdr:x>
      <cdr:y>0.45501</cdr:y>
    </cdr:from>
    <cdr:to>
      <cdr:x>0.78692</cdr:x>
      <cdr:y>0.72733</cdr:y>
    </cdr:to>
    <cdr:sp macro="" textlink="">
      <cdr:nvSpPr>
        <cdr:cNvPr id="2" name="CuadroTexto 19">
          <a:extLst xmlns:a="http://schemas.openxmlformats.org/drawingml/2006/main">
            <a:ext uri="{FF2B5EF4-FFF2-40B4-BE49-F238E27FC236}">
              <a16:creationId xmlns:lc="http://schemas.openxmlformats.org/drawingml/2006/lockedCanvas" xmlns="" xmlns:r="http://schemas.openxmlformats.org/officeDocument/2006/relationships" xmlns:p="http://schemas.openxmlformats.org/presentationml/2006/main" xmlns:a16="http://schemas.microsoft.com/office/drawing/2014/main" id="{8628C040-F3F2-48B0-A279-5D22527ABBAE}"/>
            </a:ext>
          </a:extLst>
        </cdr:cNvPr>
        <cdr:cNvSpPr txBox="1"/>
      </cdr:nvSpPr>
      <cdr:spPr>
        <a:xfrm xmlns:a="http://schemas.openxmlformats.org/drawingml/2006/main">
          <a:off x="733425" y="857250"/>
          <a:ext cx="3928745" cy="513080"/>
        </a:xfrm>
        <a:prstGeom xmlns:a="http://schemas.openxmlformats.org/drawingml/2006/main" prst="rect">
          <a:avLst/>
        </a:prstGeom>
        <a:solidFill xmlns:a="http://schemas.openxmlformats.org/drawingml/2006/main">
          <a:schemeClr val="accent2">
            <a:lumMod val="20000"/>
            <a:lumOff val="80000"/>
          </a:schemeClr>
        </a:solidFill>
        <a:ln xmlns:a="http://schemas.openxmlformats.org/drawingml/2006/main">
          <a:solidFill>
            <a:schemeClr val="tx1"/>
          </a:solidFill>
        </a:ln>
      </cdr:spPr>
      <cdr:txBody>
        <a:bodyPr xmlns:a="http://schemas.openxmlformats.org/drawingml/2006/main" wrap="square" rtlCol="0">
          <a:noAutofit/>
        </a:bodyPr>
        <a:lstStyle xmlns:a="http://schemas.openxmlformats.org/drawingml/2006/main"/>
        <a:p xmlns:a="http://schemas.openxmlformats.org/drawingml/2006/main">
          <a:r>
            <a:rPr lang="es-AR" sz="1600" b="1"/>
            <a:t>Vs Trimestre anterior: </a:t>
          </a:r>
          <a:r>
            <a:rPr lang="es-AR" sz="1600" b="1">
              <a:solidFill>
                <a:srgbClr val="FF0000"/>
              </a:solidFill>
            </a:rPr>
            <a:t>-0.8%</a:t>
          </a:r>
        </a:p>
        <a:p xmlns:a="http://schemas.openxmlformats.org/drawingml/2006/main">
          <a:r>
            <a:rPr lang="es-AR" sz="1600" b="1"/>
            <a:t>Vs mismo</a:t>
          </a:r>
          <a:r>
            <a:rPr lang="es-AR" sz="1600" b="1" baseline="0"/>
            <a:t> Trimestre año pasado: </a:t>
          </a:r>
          <a:r>
            <a:rPr lang="es-AR" sz="1600" b="1" baseline="0">
              <a:solidFill>
                <a:srgbClr val="FF0000"/>
              </a:solidFill>
            </a:rPr>
            <a:t>-8.3%</a:t>
          </a:r>
          <a:endParaRPr lang="es-AR" sz="1600" b="1">
            <a:solidFill>
              <a:srgbClr val="FF0000"/>
            </a:solidFill>
          </a:endParaRPr>
        </a:p>
        <a:p xmlns:a="http://schemas.openxmlformats.org/drawingml/2006/main">
          <a:endParaRPr lang="es-AR"/>
        </a:p>
      </cdr:txBody>
    </cdr:sp>
  </cdr:relSizeAnchor>
</c:userShapes>
</file>

<file path=word/drawings/drawing4.xml><?xml version="1.0" encoding="utf-8"?>
<c:userShapes xmlns:c="http://schemas.openxmlformats.org/drawingml/2006/chart">
  <cdr:relSizeAnchor xmlns:cdr="http://schemas.openxmlformats.org/drawingml/2006/chartDrawing">
    <cdr:from>
      <cdr:x>0.09335</cdr:x>
      <cdr:y>0.44302</cdr:y>
    </cdr:from>
    <cdr:to>
      <cdr:x>0.72116</cdr:x>
      <cdr:y>0.71627</cdr:y>
    </cdr:to>
    <cdr:sp macro="" textlink="">
      <cdr:nvSpPr>
        <cdr:cNvPr id="2" name="CuadroTexto 19">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r="http://schemas.openxmlformats.org/officeDocument/2006/relationships" xmlns="" id="{8628C040-F3F2-48B0-A279-5D22527ABBAE}"/>
            </a:ext>
          </a:extLst>
        </cdr:cNvPr>
        <cdr:cNvSpPr txBox="1"/>
      </cdr:nvSpPr>
      <cdr:spPr>
        <a:xfrm xmlns:a="http://schemas.openxmlformats.org/drawingml/2006/main">
          <a:off x="584200" y="831850"/>
          <a:ext cx="3928745" cy="513080"/>
        </a:xfrm>
        <a:prstGeom xmlns:a="http://schemas.openxmlformats.org/drawingml/2006/main" prst="rect">
          <a:avLst/>
        </a:prstGeom>
        <a:solidFill xmlns:a="http://schemas.openxmlformats.org/drawingml/2006/main">
          <a:schemeClr val="accent2">
            <a:lumMod val="20000"/>
            <a:lumOff val="80000"/>
          </a:schemeClr>
        </a:solidFill>
        <a:ln xmlns:a="http://schemas.openxmlformats.org/drawingml/2006/main">
          <a:solidFill>
            <a:schemeClr val="tx1"/>
          </a:solidFill>
        </a:ln>
      </cdr:spPr>
      <cdr:txBody>
        <a:bodyPr xmlns:a="http://schemas.openxmlformats.org/drawingml/2006/main" wrap="square" rtlCol="0">
          <a:noAutofit/>
        </a:bodyPr>
        <a:lstStyle xmlns:a="http://schemas.openxmlformats.org/drawingml/2006/main"/>
        <a:p xmlns:a="http://schemas.openxmlformats.org/drawingml/2006/main">
          <a:r>
            <a:rPr lang="es-AR" sz="1600" b="1"/>
            <a:t>Vs Trimestre anterior: </a:t>
          </a:r>
          <a:r>
            <a:rPr lang="es-AR" sz="1600" b="1">
              <a:solidFill>
                <a:srgbClr val="FF0000"/>
              </a:solidFill>
            </a:rPr>
            <a:t>-1.0%</a:t>
          </a:r>
        </a:p>
        <a:p xmlns:a="http://schemas.openxmlformats.org/drawingml/2006/main">
          <a:r>
            <a:rPr lang="es-AR" sz="1600" b="1"/>
            <a:t>Vs mismo</a:t>
          </a:r>
          <a:r>
            <a:rPr lang="es-AR" sz="1600" b="1" baseline="0"/>
            <a:t> Trimestre año pasado: </a:t>
          </a:r>
          <a:r>
            <a:rPr lang="es-AR" sz="1600" b="1" baseline="0">
              <a:solidFill>
                <a:srgbClr val="FF0000"/>
              </a:solidFill>
            </a:rPr>
            <a:t>-3.5%</a:t>
          </a:r>
          <a:endParaRPr lang="es-AR" sz="1600" b="1">
            <a:solidFill>
              <a:srgbClr val="FF0000"/>
            </a:solidFill>
          </a:endParaRPr>
        </a:p>
        <a:p xmlns:a="http://schemas.openxmlformats.org/drawingml/2006/main">
          <a:endParaRPr lang="es-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5498-0982-42BB-ADAA-07F45CE1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1191</Words>
  <Characters>6552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Marcarian</dc:creator>
  <cp:keywords/>
  <dc:description/>
  <cp:lastModifiedBy>Juan Jose Castro</cp:lastModifiedBy>
  <cp:revision>2</cp:revision>
  <dcterms:created xsi:type="dcterms:W3CDTF">2021-11-17T17:26:00Z</dcterms:created>
  <dcterms:modified xsi:type="dcterms:W3CDTF">2021-11-17T17:26:00Z</dcterms:modified>
</cp:coreProperties>
</file>