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586FE" w14:textId="77777777" w:rsidR="00804DD5" w:rsidRDefault="0081551C"/>
    <w:p w14:paraId="22E882D6" w14:textId="77777777" w:rsidR="000E4708" w:rsidRDefault="000E4708"/>
    <w:p w14:paraId="4CF006EF" w14:textId="77777777" w:rsidR="000E4708" w:rsidRDefault="000E4708"/>
    <w:p w14:paraId="2F46EBB2" w14:textId="77777777" w:rsidR="00C7509F" w:rsidRDefault="00C7509F" w:rsidP="00C7509F">
      <w:r>
        <w:rPr>
          <w:sz w:val="52"/>
        </w:rPr>
        <w:t xml:space="preserve">   </w:t>
      </w:r>
    </w:p>
    <w:p w14:paraId="4ECCE295" w14:textId="77777777" w:rsidR="00C7509F" w:rsidRDefault="00C7509F" w:rsidP="00C7509F">
      <w:r>
        <w:tab/>
      </w:r>
    </w:p>
    <w:p w14:paraId="251D3C95" w14:textId="77777777" w:rsidR="00C7509F" w:rsidRPr="00E6664D" w:rsidRDefault="00C7509F" w:rsidP="00C7509F">
      <w:pPr>
        <w:rPr>
          <w:rFonts w:ascii="Times New Roman" w:hAnsi="Times New Roman" w:cs="Times New Roman"/>
          <w:color w:val="595959" w:themeColor="text1" w:themeTint="A6"/>
          <w:sz w:val="5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A15F0" wp14:editId="12E85E79">
                <wp:simplePos x="0" y="0"/>
                <wp:positionH relativeFrom="column">
                  <wp:posOffset>985148</wp:posOffset>
                </wp:positionH>
                <wp:positionV relativeFrom="paragraph">
                  <wp:posOffset>428078</wp:posOffset>
                </wp:positionV>
                <wp:extent cx="3799489" cy="2822027"/>
                <wp:effectExtent l="0" t="0" r="10795" b="165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489" cy="2822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02206" w14:textId="77777777" w:rsidR="00C7509F" w:rsidRPr="0054002A" w:rsidRDefault="00C7509F" w:rsidP="00C7509F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54002A">
                              <w:rPr>
                                <w:b/>
                                <w:sz w:val="72"/>
                              </w:rPr>
                              <w:t xml:space="preserve">Sector </w:t>
                            </w:r>
                            <w:r w:rsidR="00783DCB">
                              <w:rPr>
                                <w:b/>
                                <w:sz w:val="72"/>
                              </w:rPr>
                              <w:t>metalmecánica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A15F0" id="Rectángulo 5" o:spid="_x0000_s1026" style="position:absolute;margin-left:77.55pt;margin-top:33.7pt;width:299.15pt;height:2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" fillcolor="white [3201]" strokecolor="white [3212]" strokeweight="1pt">
                <v:textbox>
                  <w:txbxContent>
                    <w:p w14:paraId="12F02206" w14:textId="77777777" w:rsidR="00C7509F" w:rsidRPr="0054002A" w:rsidRDefault="00C7509F" w:rsidP="00C7509F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54002A">
                        <w:rPr>
                          <w:b/>
                          <w:sz w:val="72"/>
                        </w:rPr>
                        <w:t xml:space="preserve">Sector </w:t>
                      </w:r>
                      <w:r w:rsidR="00783DCB">
                        <w:rPr>
                          <w:b/>
                          <w:sz w:val="72"/>
                        </w:rPr>
                        <w:t>metalmecánica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6DA9DA6C" w14:textId="77777777" w:rsidR="00C7509F" w:rsidRPr="00E6664D" w:rsidRDefault="00C7509F" w:rsidP="00C7509F">
      <w:pPr>
        <w:rPr>
          <w:rFonts w:ascii="Times New Roman" w:hAnsi="Times New Roman" w:cs="Times New Roman"/>
          <w:color w:val="595959" w:themeColor="text1" w:themeTint="A6"/>
          <w:sz w:val="52"/>
        </w:rPr>
      </w:pPr>
      <w:r w:rsidRPr="00E6664D">
        <w:rPr>
          <w:rFonts w:ascii="Times New Roman" w:hAnsi="Times New Roman" w:cs="Times New Roman"/>
          <w:color w:val="595959" w:themeColor="text1" w:themeTint="A6"/>
          <w:sz w:val="52"/>
        </w:rPr>
        <w:tab/>
      </w:r>
    </w:p>
    <w:p w14:paraId="282D4737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6C11C4B2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00B3D7F4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0E7065B7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08FAC832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17DED350" w14:textId="77777777" w:rsidR="00C7509F" w:rsidRPr="003339B3" w:rsidRDefault="00C7509F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  <w:r w:rsidRPr="003339B3">
        <w:rPr>
          <w:rFonts w:ascii="Arial" w:hAnsi="Arial" w:cs="Arial"/>
          <w:color w:val="595959" w:themeColor="text1" w:themeTint="A6"/>
          <w:sz w:val="52"/>
        </w:rPr>
        <w:t xml:space="preserve">Serie </w:t>
      </w:r>
      <w:r>
        <w:rPr>
          <w:rFonts w:ascii="Arial" w:hAnsi="Arial" w:cs="Arial"/>
          <w:color w:val="595959" w:themeColor="text1" w:themeTint="A6"/>
          <w:sz w:val="52"/>
        </w:rPr>
        <w:t>“</w:t>
      </w:r>
      <w:r w:rsidRPr="003339B3">
        <w:rPr>
          <w:rFonts w:ascii="Arial" w:hAnsi="Arial" w:cs="Arial"/>
          <w:color w:val="595959" w:themeColor="text1" w:themeTint="A6"/>
          <w:sz w:val="52"/>
        </w:rPr>
        <w:t>Informes de actividad económica</w:t>
      </w:r>
      <w:r>
        <w:rPr>
          <w:rFonts w:ascii="Arial" w:hAnsi="Arial" w:cs="Arial"/>
          <w:color w:val="595959" w:themeColor="text1" w:themeTint="A6"/>
          <w:sz w:val="52"/>
        </w:rPr>
        <w:t>”</w:t>
      </w:r>
    </w:p>
    <w:p w14:paraId="5A5D552D" w14:textId="77777777" w:rsidR="00C7509F" w:rsidRDefault="00C7509F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  <w:r>
        <w:rPr>
          <w:rFonts w:ascii="Arial" w:hAnsi="Arial" w:cs="Arial"/>
          <w:color w:val="595959" w:themeColor="text1" w:themeTint="A6"/>
          <w:sz w:val="52"/>
        </w:rPr>
        <w:t xml:space="preserve"> </w:t>
      </w:r>
    </w:p>
    <w:p w14:paraId="49998EE1" w14:textId="3635734E" w:rsidR="00C7509F" w:rsidRDefault="00B37D72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  <w:r>
        <w:rPr>
          <w:rFonts w:ascii="Arial" w:hAnsi="Arial" w:cs="Arial"/>
          <w:color w:val="595959" w:themeColor="text1" w:themeTint="A6"/>
          <w:sz w:val="52"/>
        </w:rPr>
        <w:t>Segundo</w:t>
      </w:r>
      <w:r w:rsidR="00C7509F">
        <w:rPr>
          <w:rFonts w:ascii="Arial" w:hAnsi="Arial" w:cs="Arial"/>
          <w:color w:val="595959" w:themeColor="text1" w:themeTint="A6"/>
          <w:sz w:val="52"/>
        </w:rPr>
        <w:t xml:space="preserve"> Trimestre, </w:t>
      </w:r>
      <w:r w:rsidR="00C7509F" w:rsidRPr="00E6664D">
        <w:rPr>
          <w:rFonts w:ascii="Arial" w:hAnsi="Arial" w:cs="Arial"/>
          <w:color w:val="595959" w:themeColor="text1" w:themeTint="A6"/>
          <w:sz w:val="52"/>
        </w:rPr>
        <w:t>20</w:t>
      </w:r>
      <w:r>
        <w:rPr>
          <w:rFonts w:ascii="Arial" w:hAnsi="Arial" w:cs="Arial"/>
          <w:color w:val="595959" w:themeColor="text1" w:themeTint="A6"/>
          <w:sz w:val="52"/>
        </w:rPr>
        <w:t>21</w:t>
      </w:r>
    </w:p>
    <w:p w14:paraId="72ED9D49" w14:textId="20B7E438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</w:p>
    <w:p w14:paraId="49BB04FF" w14:textId="26BB7D82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</w:p>
    <w:p w14:paraId="594F2AD4" w14:textId="77777777" w:rsidR="00013F20" w:rsidRDefault="00013F20" w:rsidP="00013F20">
      <w:pPr>
        <w:pStyle w:val="Ttulo1"/>
      </w:pPr>
      <w:r>
        <w:lastRenderedPageBreak/>
        <w:t>Resumen Ejecutivo</w:t>
      </w:r>
    </w:p>
    <w:p w14:paraId="4D2AFF21" w14:textId="77777777" w:rsidR="00013F20" w:rsidRPr="00344FC9" w:rsidRDefault="00013F20" w:rsidP="00013F20">
      <w:pPr>
        <w:ind w:right="-780"/>
      </w:pPr>
    </w:p>
    <w:p w14:paraId="559EF919" w14:textId="30413DBA" w:rsidR="00A432EC" w:rsidRPr="00A432EC" w:rsidRDefault="00A432EC" w:rsidP="00A432EC">
      <w:pPr>
        <w:numPr>
          <w:ilvl w:val="0"/>
          <w:numId w:val="11"/>
        </w:numPr>
        <w:rPr>
          <w:rFonts w:ascii="Arial" w:hAnsi="Arial" w:cs="Arial"/>
          <w:color w:val="595959" w:themeColor="text1" w:themeTint="A6"/>
          <w:sz w:val="24"/>
          <w:lang w:val="es-AR"/>
        </w:rPr>
      </w:pPr>
      <w:r w:rsidRPr="00A432EC">
        <w:rPr>
          <w:rFonts w:ascii="Arial" w:hAnsi="Arial" w:cs="Arial"/>
          <w:color w:val="595959" w:themeColor="text1" w:themeTint="A6"/>
          <w:sz w:val="24"/>
          <w:lang w:val="es-AR"/>
        </w:rPr>
        <w:t xml:space="preserve">La actividad </w:t>
      </w:r>
      <w:r w:rsidR="00890A6C">
        <w:rPr>
          <w:rFonts w:ascii="Arial" w:hAnsi="Arial" w:cs="Arial"/>
          <w:color w:val="595959" w:themeColor="text1" w:themeTint="A6"/>
          <w:sz w:val="24"/>
          <w:lang w:val="es-AR"/>
        </w:rPr>
        <w:t>muestra recuperaciones muy fuertes, explicadas en su totalidad porque se compara contra meses de producción casi nula, debido a la cuarentena de 2020</w:t>
      </w:r>
      <w:r w:rsidR="0047585A">
        <w:rPr>
          <w:rFonts w:ascii="Arial" w:hAnsi="Arial" w:cs="Arial"/>
          <w:color w:val="595959" w:themeColor="text1" w:themeTint="A6"/>
          <w:sz w:val="24"/>
          <w:lang w:val="es-AR"/>
        </w:rPr>
        <w:t>.</w:t>
      </w:r>
    </w:p>
    <w:p w14:paraId="470BD5C8" w14:textId="1758444F" w:rsidR="00A432EC" w:rsidRPr="00A432EC" w:rsidRDefault="0047585A" w:rsidP="00A432EC">
      <w:pPr>
        <w:numPr>
          <w:ilvl w:val="0"/>
          <w:numId w:val="11"/>
        </w:numPr>
        <w:rPr>
          <w:rFonts w:ascii="Arial" w:hAnsi="Arial" w:cs="Arial"/>
          <w:color w:val="595959" w:themeColor="text1" w:themeTint="A6"/>
          <w:sz w:val="24"/>
          <w:lang w:val="es-AR"/>
        </w:rPr>
      </w:pPr>
      <w:r>
        <w:rPr>
          <w:rFonts w:ascii="Arial" w:hAnsi="Arial" w:cs="Arial"/>
          <w:color w:val="595959" w:themeColor="text1" w:themeTint="A6"/>
          <w:sz w:val="24"/>
          <w:lang w:val="es-AR"/>
        </w:rPr>
        <w:t>De todos modos, a medida que se avanza sobre el trimestre, dicha recuperación parece agotarse.</w:t>
      </w:r>
    </w:p>
    <w:p w14:paraId="2C15476E" w14:textId="1837033A" w:rsidR="00A432EC" w:rsidRPr="00A432EC" w:rsidRDefault="0047585A" w:rsidP="00A432EC">
      <w:pPr>
        <w:numPr>
          <w:ilvl w:val="0"/>
          <w:numId w:val="11"/>
        </w:numPr>
        <w:rPr>
          <w:rFonts w:ascii="Arial" w:hAnsi="Arial" w:cs="Arial"/>
          <w:color w:val="595959" w:themeColor="text1" w:themeTint="A6"/>
          <w:sz w:val="24"/>
          <w:lang w:val="es-AR"/>
        </w:rPr>
      </w:pPr>
      <w:r>
        <w:rPr>
          <w:rFonts w:ascii="Arial" w:hAnsi="Arial" w:cs="Arial"/>
          <w:color w:val="595959" w:themeColor="text1" w:themeTint="A6"/>
          <w:sz w:val="24"/>
          <w:lang w:val="es-AR"/>
        </w:rPr>
        <w:t xml:space="preserve">Las exportaciones alcanzan un máximo histórico, pero no alcanza para reducir el déficit comercial del sector. </w:t>
      </w:r>
    </w:p>
    <w:p w14:paraId="4761FE68" w14:textId="5C8C8F09" w:rsidR="00A432EC" w:rsidRPr="00A432EC" w:rsidRDefault="00A432EC" w:rsidP="00A432EC">
      <w:pPr>
        <w:numPr>
          <w:ilvl w:val="0"/>
          <w:numId w:val="11"/>
        </w:numPr>
        <w:rPr>
          <w:rFonts w:ascii="Arial" w:hAnsi="Arial" w:cs="Arial"/>
          <w:color w:val="595959" w:themeColor="text1" w:themeTint="A6"/>
          <w:sz w:val="24"/>
          <w:lang w:val="es-AR"/>
        </w:rPr>
      </w:pPr>
      <w:r w:rsidRPr="00A432EC">
        <w:rPr>
          <w:rFonts w:ascii="Arial" w:hAnsi="Arial" w:cs="Arial"/>
          <w:color w:val="595959" w:themeColor="text1" w:themeTint="A6"/>
          <w:sz w:val="24"/>
          <w:lang w:val="es-AR"/>
        </w:rPr>
        <w:t xml:space="preserve">El sector, a nivel agregado, </w:t>
      </w:r>
      <w:r w:rsidR="0047585A">
        <w:rPr>
          <w:rFonts w:ascii="Arial" w:hAnsi="Arial" w:cs="Arial"/>
          <w:color w:val="595959" w:themeColor="text1" w:themeTint="A6"/>
          <w:sz w:val="24"/>
          <w:lang w:val="es-AR"/>
        </w:rPr>
        <w:t>recupera empleo y se encuentra prácticamente en los mismos niveles de 2020.</w:t>
      </w:r>
    </w:p>
    <w:p w14:paraId="01CABA06" w14:textId="522BB623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71F72B3D" w14:textId="3242AACA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429EC2F3" w14:textId="5FA9CDA0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10425BCE" w14:textId="5CC897CB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16743C29" w14:textId="646DBE58" w:rsidR="00013F20" w:rsidRDefault="00013F20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612C2696" w14:textId="75D1228E" w:rsidR="00B14208" w:rsidRDefault="00B14208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73278829" w14:textId="4E9F805C" w:rsidR="00B14208" w:rsidRDefault="00B14208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580C1FD0" w14:textId="642D58F5" w:rsidR="00B14208" w:rsidRDefault="00B14208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3ABAAC82" w14:textId="77777777" w:rsidR="00B14208" w:rsidRPr="00013F20" w:rsidRDefault="00B14208" w:rsidP="00C7509F">
      <w:pPr>
        <w:jc w:val="center"/>
        <w:rPr>
          <w:rFonts w:ascii="Arial" w:hAnsi="Arial" w:cs="Arial"/>
          <w:color w:val="595959" w:themeColor="text1" w:themeTint="A6"/>
          <w:sz w:val="52"/>
          <w:lang w:val="es-AR"/>
        </w:rPr>
      </w:pPr>
    </w:p>
    <w:p w14:paraId="230B22B6" w14:textId="114B4955" w:rsidR="009A54A9" w:rsidRDefault="009A54A9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</w:p>
    <w:p w14:paraId="7D3F52D7" w14:textId="77777777" w:rsidR="000E4708" w:rsidRDefault="00591F4E" w:rsidP="00CE091A">
      <w:pPr>
        <w:pStyle w:val="Ttulo1"/>
        <w:numPr>
          <w:ilvl w:val="0"/>
          <w:numId w:val="2"/>
        </w:numPr>
      </w:pPr>
      <w:r>
        <w:lastRenderedPageBreak/>
        <w:t>Evolución del nivel de actividad</w:t>
      </w:r>
    </w:p>
    <w:p w14:paraId="015A0130" w14:textId="77777777" w:rsidR="00CE091A" w:rsidRDefault="00CE091A" w:rsidP="00CE091A">
      <w:pPr>
        <w:pStyle w:val="Prrafodelista"/>
      </w:pPr>
    </w:p>
    <w:p w14:paraId="74EC444F" w14:textId="1F424FF6" w:rsidR="007D0099" w:rsidRDefault="007D0099" w:rsidP="00A04690">
      <w:pPr>
        <w:pStyle w:val="Prrafodelista"/>
        <w:ind w:left="0"/>
        <w:jc w:val="both"/>
        <w:rPr>
          <w:sz w:val="24"/>
        </w:rPr>
      </w:pPr>
      <w:r w:rsidRPr="007D0099">
        <w:rPr>
          <w:sz w:val="24"/>
        </w:rPr>
        <w:t xml:space="preserve">La </w:t>
      </w:r>
      <w:r w:rsidR="00A432EC">
        <w:rPr>
          <w:sz w:val="24"/>
        </w:rPr>
        <w:t xml:space="preserve">recuperación del sector </w:t>
      </w:r>
      <w:r w:rsidR="00722F6A">
        <w:rPr>
          <w:sz w:val="24"/>
        </w:rPr>
        <w:t>sigue siendo irregular</w:t>
      </w:r>
      <w:r w:rsidR="009A6DE3">
        <w:rPr>
          <w:sz w:val="24"/>
        </w:rPr>
        <w:t xml:space="preserve"> irregular. </w:t>
      </w:r>
      <w:r w:rsidR="002D3EFA">
        <w:rPr>
          <w:sz w:val="24"/>
        </w:rPr>
        <w:t xml:space="preserve">El segundo trimestre de 2021 compara contra lo peor de la cuarentena de 2020, por lo que hablar de variaciones interanuales no tiene demasiado sentido. De todos modos, comparando contra 2019.T2 </w:t>
      </w:r>
      <w:r w:rsidR="002D3EFA" w:rsidRPr="001D5A41">
        <w:rPr>
          <w:sz w:val="24"/>
        </w:rPr>
        <w:t xml:space="preserve">se puede ver que Productos elaborado del </w:t>
      </w:r>
      <w:r w:rsidR="00776016" w:rsidRPr="001D5A41">
        <w:rPr>
          <w:sz w:val="24"/>
        </w:rPr>
        <w:t xml:space="preserve">metal </w:t>
      </w:r>
      <w:r w:rsidR="002D3EFA" w:rsidRPr="001D5A41">
        <w:rPr>
          <w:sz w:val="24"/>
        </w:rPr>
        <w:t>se encuentran en valores similares a los de pre pandemia, Maquinaria y aparatos eléctricos aún sigue un 25% por debajo</w:t>
      </w:r>
      <w:r w:rsidR="00776016" w:rsidRPr="001D5A41">
        <w:rPr>
          <w:sz w:val="24"/>
        </w:rPr>
        <w:t>, y solo Maquinaria y equipo está por encima de sus valores de pre pandemia</w:t>
      </w:r>
      <w:r w:rsidR="002D3EFA" w:rsidRPr="001D5A41">
        <w:rPr>
          <w:sz w:val="24"/>
        </w:rPr>
        <w:t>.</w:t>
      </w:r>
      <w:r w:rsidR="009A6DE3">
        <w:rPr>
          <w:sz w:val="24"/>
        </w:rPr>
        <w:t xml:space="preserve"> </w:t>
      </w:r>
      <w:r w:rsidR="00A04690">
        <w:rPr>
          <w:sz w:val="24"/>
        </w:rPr>
        <w:t xml:space="preserve"> </w:t>
      </w:r>
      <w:r w:rsidR="00E8126A">
        <w:rPr>
          <w:sz w:val="24"/>
        </w:rPr>
        <w:t xml:space="preserve"> </w:t>
      </w:r>
    </w:p>
    <w:p w14:paraId="5E222E87" w14:textId="77777777" w:rsidR="00E8126A" w:rsidRDefault="00E8126A" w:rsidP="007D0099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4476D6" w14:paraId="7B0A8FDC" w14:textId="77777777" w:rsidTr="002B2668">
        <w:tc>
          <w:tcPr>
            <w:tcW w:w="10055" w:type="dxa"/>
          </w:tcPr>
          <w:p w14:paraId="5971BA72" w14:textId="501A3FB7" w:rsidR="004476D6" w:rsidRDefault="004476D6" w:rsidP="007D0099">
            <w:pPr>
              <w:pStyle w:val="Prrafodelista"/>
              <w:ind w:left="0"/>
              <w:rPr>
                <w:sz w:val="24"/>
              </w:rPr>
            </w:pPr>
            <w:r w:rsidRPr="004476D6">
              <w:rPr>
                <w:b/>
                <w:bCs/>
                <w:sz w:val="24"/>
              </w:rPr>
              <w:t>Gráfico 1.</w:t>
            </w:r>
            <w:r>
              <w:rPr>
                <w:sz w:val="24"/>
              </w:rPr>
              <w:t xml:space="preserve"> Índice de Volúmene</w:t>
            </w:r>
            <w:r w:rsidR="009A6DE3">
              <w:rPr>
                <w:sz w:val="24"/>
              </w:rPr>
              <w:t>s Físicos. VAB. 2015.T1 a 2021.I</w:t>
            </w:r>
            <w:r w:rsidR="00722F6A">
              <w:rPr>
                <w:sz w:val="24"/>
              </w:rPr>
              <w:t>I</w:t>
            </w:r>
          </w:p>
        </w:tc>
      </w:tr>
      <w:tr w:rsidR="004476D6" w14:paraId="66A2AEA9" w14:textId="77777777" w:rsidTr="002B2668">
        <w:tc>
          <w:tcPr>
            <w:tcW w:w="10055" w:type="dxa"/>
          </w:tcPr>
          <w:p w14:paraId="5F3DF311" w14:textId="11A928DA" w:rsidR="004476D6" w:rsidRDefault="00722F6A" w:rsidP="000A6AC3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w:drawing>
                <wp:inline distT="0" distB="0" distL="0" distR="0" wp14:anchorId="5D5AD19B" wp14:editId="2190EDA4">
                  <wp:extent cx="4273550" cy="274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D6" w14:paraId="2953729C" w14:textId="77777777" w:rsidTr="002B2668">
        <w:tc>
          <w:tcPr>
            <w:tcW w:w="10055" w:type="dxa"/>
          </w:tcPr>
          <w:p w14:paraId="0A138149" w14:textId="7E4EC385" w:rsidR="004476D6" w:rsidRDefault="0000214A" w:rsidP="007D0099">
            <w:pPr>
              <w:pStyle w:val="Prrafodelista"/>
              <w:ind w:left="0"/>
              <w:rPr>
                <w:sz w:val="24"/>
              </w:rPr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INDEC</w:t>
            </w:r>
          </w:p>
        </w:tc>
      </w:tr>
    </w:tbl>
    <w:p w14:paraId="00018E55" w14:textId="6855F458" w:rsidR="00E8126A" w:rsidRDefault="00E8126A" w:rsidP="007D0099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00214A" w14:paraId="371214DE" w14:textId="77777777" w:rsidTr="002B2668">
        <w:tc>
          <w:tcPr>
            <w:tcW w:w="10055" w:type="dxa"/>
          </w:tcPr>
          <w:p w14:paraId="12CBFF69" w14:textId="1595F2D1" w:rsidR="0000214A" w:rsidRDefault="0000214A" w:rsidP="0000214A">
            <w:pPr>
              <w:pStyle w:val="Prrafodelista"/>
              <w:ind w:left="0"/>
            </w:pPr>
            <w:r w:rsidRPr="0000214A">
              <w:rPr>
                <w:b/>
                <w:bCs/>
              </w:rPr>
              <w:t>Tabla 1.</w:t>
            </w:r>
            <w:r>
              <w:t xml:space="preserve"> Evolución del nivel de actividad según </w:t>
            </w:r>
            <w:r>
              <w:rPr>
                <w:sz w:val="24"/>
              </w:rPr>
              <w:t>Índice de Volúmenes Físicos. VAB. Variaciones</w:t>
            </w:r>
          </w:p>
        </w:tc>
      </w:tr>
      <w:tr w:rsidR="0000214A" w14:paraId="56A5F76F" w14:textId="77777777" w:rsidTr="002B2668">
        <w:tc>
          <w:tcPr>
            <w:tcW w:w="10055" w:type="dxa"/>
          </w:tcPr>
          <w:p w14:paraId="4BB76B8E" w14:textId="7BC8D73D" w:rsidR="0000214A" w:rsidRDefault="00722F6A" w:rsidP="00DD64F1">
            <w:pPr>
              <w:pStyle w:val="Prrafodelista"/>
              <w:ind w:left="0"/>
              <w:jc w:val="center"/>
            </w:pPr>
            <w:r w:rsidRPr="00722F6A">
              <w:rPr>
                <w:noProof/>
                <w:lang w:eastAsia="es-MX"/>
              </w:rPr>
              <w:drawing>
                <wp:inline distT="0" distB="0" distL="0" distR="0" wp14:anchorId="249C4531" wp14:editId="52E023C3">
                  <wp:extent cx="4667250" cy="120967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14A" w14:paraId="2DCCB894" w14:textId="77777777" w:rsidTr="002B2668">
        <w:tc>
          <w:tcPr>
            <w:tcW w:w="10055" w:type="dxa"/>
          </w:tcPr>
          <w:p w14:paraId="381236CA" w14:textId="2DC3AC26" w:rsidR="0000214A" w:rsidRDefault="0000214A" w:rsidP="0000214A">
            <w:pPr>
              <w:pStyle w:val="Prrafodelista"/>
              <w:ind w:left="0"/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INDEC</w:t>
            </w:r>
          </w:p>
        </w:tc>
      </w:tr>
    </w:tbl>
    <w:p w14:paraId="696C07BE" w14:textId="77777777" w:rsidR="00591F4E" w:rsidRDefault="00591F4E" w:rsidP="0000214A">
      <w:pPr>
        <w:pStyle w:val="Prrafodelista"/>
        <w:ind w:left="0"/>
      </w:pPr>
    </w:p>
    <w:p w14:paraId="69054389" w14:textId="77777777" w:rsidR="00CE091A" w:rsidRDefault="007D0099" w:rsidP="007D0099">
      <w:pPr>
        <w:pStyle w:val="Ttulo1"/>
        <w:numPr>
          <w:ilvl w:val="0"/>
          <w:numId w:val="2"/>
        </w:numPr>
      </w:pPr>
      <w:r>
        <w:lastRenderedPageBreak/>
        <w:t>Producción por rubro</w:t>
      </w:r>
    </w:p>
    <w:p w14:paraId="09FCC8A6" w14:textId="0CB6D96C" w:rsidR="007D0099" w:rsidRPr="007D0099" w:rsidRDefault="007D0099" w:rsidP="007D0099">
      <w:pPr>
        <w:jc w:val="both"/>
        <w:rPr>
          <w:sz w:val="24"/>
        </w:rPr>
      </w:pPr>
      <w:r w:rsidRPr="007D0099">
        <w:rPr>
          <w:sz w:val="24"/>
        </w:rPr>
        <w:t>ADIMRA</w:t>
      </w:r>
      <w:r w:rsidRPr="00E6658F">
        <w:rPr>
          <w:sz w:val="24"/>
        </w:rPr>
        <w:t xml:space="preserve">, la </w:t>
      </w:r>
      <w:r w:rsidR="00E6658F" w:rsidRPr="00E6658F">
        <w:rPr>
          <w:sz w:val="24"/>
        </w:rPr>
        <w:t>A</w:t>
      </w:r>
      <w:r w:rsidRPr="00E6658F">
        <w:rPr>
          <w:sz w:val="24"/>
        </w:rPr>
        <w:t>sociación</w:t>
      </w:r>
      <w:r w:rsidR="00E6658F" w:rsidRPr="00E6658F">
        <w:rPr>
          <w:sz w:val="24"/>
        </w:rPr>
        <w:t xml:space="preserve"> De Industriales M</w:t>
      </w:r>
      <w:r w:rsidRPr="00E6658F">
        <w:rPr>
          <w:sz w:val="24"/>
        </w:rPr>
        <w:t xml:space="preserve">etalúrgicos de la </w:t>
      </w:r>
      <w:r w:rsidR="00E6658F" w:rsidRPr="00E6658F">
        <w:rPr>
          <w:sz w:val="24"/>
        </w:rPr>
        <w:t>República A</w:t>
      </w:r>
      <w:r w:rsidRPr="00E6658F">
        <w:rPr>
          <w:sz w:val="24"/>
        </w:rPr>
        <w:t>rgentina</w:t>
      </w:r>
      <w:r w:rsidRPr="007D0099">
        <w:rPr>
          <w:sz w:val="24"/>
        </w:rPr>
        <w:t xml:space="preserve"> presenta en sus informes mensuales, las evoluciones interanuales de la producción por rubro. Los primeros tres rubros del grafico son representativos de la economía lanusense. </w:t>
      </w:r>
    </w:p>
    <w:p w14:paraId="0EE6A361" w14:textId="017E61BB" w:rsidR="0082177F" w:rsidRDefault="0082177F" w:rsidP="007D0099">
      <w:pPr>
        <w:jc w:val="both"/>
        <w:rPr>
          <w:sz w:val="24"/>
        </w:rPr>
      </w:pPr>
      <w:r>
        <w:rPr>
          <w:sz w:val="24"/>
        </w:rPr>
        <w:t xml:space="preserve">La variación interanual de los sectores que trabajan en el territorio de Lanús ha sido </w:t>
      </w:r>
      <w:r w:rsidR="00793FF0">
        <w:rPr>
          <w:sz w:val="24"/>
        </w:rPr>
        <w:t>similar, teniendo tod</w:t>
      </w:r>
      <w:r w:rsidR="00F742EA">
        <w:rPr>
          <w:sz w:val="24"/>
        </w:rPr>
        <w:t xml:space="preserve">os alzas interanuales entre el </w:t>
      </w:r>
      <w:r w:rsidR="00F742EA" w:rsidRPr="001D5A41">
        <w:rPr>
          <w:sz w:val="24"/>
        </w:rPr>
        <w:t>30% y el 4</w:t>
      </w:r>
      <w:r w:rsidR="00793FF0" w:rsidRPr="001D5A41">
        <w:rPr>
          <w:sz w:val="24"/>
        </w:rPr>
        <w:t>0%</w:t>
      </w:r>
      <w:r w:rsidR="00793FF0">
        <w:rPr>
          <w:sz w:val="24"/>
        </w:rPr>
        <w:t xml:space="preserve"> aproximadamente. Nuevamente, el efecto de la pandemia se hace notar en estas variaciones, ya que se compara con niveles de producción inusualmente bajos.</w:t>
      </w:r>
    </w:p>
    <w:p w14:paraId="066CD3BD" w14:textId="67ED4DEC" w:rsidR="002B2668" w:rsidRPr="007D0099" w:rsidRDefault="0082177F" w:rsidP="007D0099">
      <w:pPr>
        <w:jc w:val="both"/>
        <w:rPr>
          <w:sz w:val="24"/>
        </w:rPr>
      </w:pPr>
      <w:r>
        <w:rPr>
          <w:sz w:val="24"/>
        </w:rPr>
        <w:t>Los otros sectores, que no poseen actividad importante en el municipio, tu</w:t>
      </w:r>
      <w:r w:rsidR="00793FF0">
        <w:rPr>
          <w:sz w:val="24"/>
        </w:rPr>
        <w:t>vieron una evolución muy dispar. El sector de autopartes, importante por su derrame sobre el sector curtiembres tuvo un buen trimestre, con un alza del 50,7%. El dato a destacar es el de equipamiento médico, quien tuvo la menor variación, tan solo el 7,9%.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00214A" w14:paraId="06336705" w14:textId="77777777" w:rsidTr="002B2668">
        <w:tc>
          <w:tcPr>
            <w:tcW w:w="10055" w:type="dxa"/>
          </w:tcPr>
          <w:p w14:paraId="7F51F510" w14:textId="54703CA0" w:rsidR="0000214A" w:rsidRDefault="0000214A" w:rsidP="001D1451">
            <w:r w:rsidRPr="00B76958">
              <w:rPr>
                <w:b/>
                <w:bCs/>
              </w:rPr>
              <w:t xml:space="preserve">Gráfico </w:t>
            </w:r>
            <w:r w:rsidR="00B76958">
              <w:rPr>
                <w:b/>
                <w:bCs/>
              </w:rPr>
              <w:t>2</w:t>
            </w:r>
            <w:r w:rsidRPr="00B76958">
              <w:rPr>
                <w:b/>
                <w:bCs/>
              </w:rPr>
              <w:t>.</w:t>
            </w:r>
            <w:r>
              <w:t xml:space="preserve"> Variación interanual de la producción metalúrgica por rubro. </w:t>
            </w:r>
            <w:r w:rsidR="001D1451">
              <w:t>2020.T1</w:t>
            </w:r>
            <w:r w:rsidR="003242E9">
              <w:t xml:space="preserve"> </w:t>
            </w:r>
            <w:r>
              <w:t xml:space="preserve">vs </w:t>
            </w:r>
            <w:r w:rsidR="00B87E4F">
              <w:t>2021.T2</w:t>
            </w:r>
          </w:p>
        </w:tc>
      </w:tr>
      <w:tr w:rsidR="0000214A" w14:paraId="173D42E3" w14:textId="77777777" w:rsidTr="002B2668">
        <w:tc>
          <w:tcPr>
            <w:tcW w:w="10055" w:type="dxa"/>
          </w:tcPr>
          <w:p w14:paraId="7D03D632" w14:textId="24480FE4" w:rsidR="0000214A" w:rsidRDefault="002D3EFA" w:rsidP="000A6AC3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70D95A8" wp14:editId="5626A9AC">
                  <wp:extent cx="5663565" cy="3694430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565" cy="3694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14A" w14:paraId="249014E9" w14:textId="77777777" w:rsidTr="002B2668">
        <w:tc>
          <w:tcPr>
            <w:tcW w:w="10055" w:type="dxa"/>
          </w:tcPr>
          <w:p w14:paraId="243BC8B9" w14:textId="71859DF5" w:rsidR="0000214A" w:rsidRDefault="0000214A" w:rsidP="0000214A"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ADIMRA</w:t>
            </w:r>
          </w:p>
        </w:tc>
      </w:tr>
    </w:tbl>
    <w:p w14:paraId="38CD2FF6" w14:textId="60B726B1" w:rsidR="007D0099" w:rsidRDefault="007D0099" w:rsidP="007D0099"/>
    <w:p w14:paraId="2BBEA894" w14:textId="77777777" w:rsidR="0000214A" w:rsidRDefault="0000214A" w:rsidP="007D0099">
      <w:pPr>
        <w:pStyle w:val="Prrafodelista"/>
        <w:ind w:left="0"/>
        <w:jc w:val="both"/>
        <w:rPr>
          <w:sz w:val="24"/>
        </w:rPr>
      </w:pPr>
    </w:p>
    <w:p w14:paraId="1879EED5" w14:textId="18757B4C" w:rsidR="0000214A" w:rsidRDefault="0000214A" w:rsidP="007D0099">
      <w:pPr>
        <w:pStyle w:val="Prrafodelista"/>
        <w:ind w:left="0"/>
        <w:jc w:val="both"/>
        <w:rPr>
          <w:sz w:val="24"/>
        </w:rPr>
      </w:pPr>
    </w:p>
    <w:p w14:paraId="6E07D96A" w14:textId="018739B8" w:rsidR="000A6AC3" w:rsidRDefault="000A6AC3" w:rsidP="007D0099">
      <w:pPr>
        <w:pStyle w:val="Prrafodelista"/>
        <w:ind w:left="0"/>
        <w:jc w:val="both"/>
        <w:rPr>
          <w:sz w:val="24"/>
        </w:rPr>
      </w:pPr>
    </w:p>
    <w:p w14:paraId="3BBDFA59" w14:textId="0239EC26" w:rsidR="00DD64F1" w:rsidRDefault="00DD64F1" w:rsidP="007D0099">
      <w:pPr>
        <w:pStyle w:val="Prrafodelista"/>
        <w:ind w:left="0"/>
        <w:jc w:val="both"/>
        <w:rPr>
          <w:sz w:val="24"/>
        </w:rPr>
      </w:pPr>
    </w:p>
    <w:p w14:paraId="17E4708A" w14:textId="2CBA8BFF" w:rsidR="00CE091A" w:rsidRPr="007D0099" w:rsidRDefault="007D0099" w:rsidP="007D0099">
      <w:pPr>
        <w:pStyle w:val="Prrafodelista"/>
        <w:ind w:left="0"/>
        <w:jc w:val="both"/>
        <w:rPr>
          <w:sz w:val="24"/>
        </w:rPr>
      </w:pPr>
      <w:r w:rsidRPr="007D0099">
        <w:rPr>
          <w:sz w:val="24"/>
        </w:rPr>
        <w:t xml:space="preserve">El </w:t>
      </w:r>
      <w:r w:rsidR="0000214A">
        <w:rPr>
          <w:sz w:val="24"/>
        </w:rPr>
        <w:t>G</w:t>
      </w:r>
      <w:r w:rsidRPr="007D0099">
        <w:rPr>
          <w:sz w:val="24"/>
        </w:rPr>
        <w:t xml:space="preserve">ráfico </w:t>
      </w:r>
      <w:r w:rsidR="0000214A">
        <w:rPr>
          <w:sz w:val="24"/>
        </w:rPr>
        <w:t>3</w:t>
      </w:r>
      <w:r w:rsidRPr="007D0099">
        <w:rPr>
          <w:sz w:val="24"/>
        </w:rPr>
        <w:t xml:space="preserve"> </w:t>
      </w:r>
      <w:r>
        <w:rPr>
          <w:sz w:val="24"/>
        </w:rPr>
        <w:t xml:space="preserve">muestra la evolución del promedio de actividades metalúrgicas. </w:t>
      </w:r>
      <w:r w:rsidR="003532C4">
        <w:rPr>
          <w:sz w:val="24"/>
        </w:rPr>
        <w:t>La recuperación se desacelera durante 2021.T2. A medida que la comparación interanual se hace contra meses de 2020 donde la cuarentena era menos estricta, la variación naturalmente se hace menor. De todos modos, el sector operaba a junio, un 25,9% por encima del mismo mes de 2020.</w:t>
      </w:r>
      <w:r w:rsidR="000550BF">
        <w:rPr>
          <w:sz w:val="24"/>
        </w:rPr>
        <w:t xml:space="preserve"> </w:t>
      </w:r>
    </w:p>
    <w:p w14:paraId="31BE1AC0" w14:textId="77777777" w:rsidR="007D0099" w:rsidRDefault="007D0099" w:rsidP="007D0099">
      <w:pPr>
        <w:pStyle w:val="Prrafodelista"/>
        <w:ind w:left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A523B" w14:paraId="0DB81AA3" w14:textId="77777777" w:rsidTr="002B2668">
        <w:tc>
          <w:tcPr>
            <w:tcW w:w="5000" w:type="pct"/>
          </w:tcPr>
          <w:p w14:paraId="5D7C899C" w14:textId="0F2124E2" w:rsidR="001A523B" w:rsidRPr="001A523B" w:rsidRDefault="001A523B" w:rsidP="00B87E4F">
            <w:pPr>
              <w:rPr>
                <w:lang w:val="es-AR"/>
              </w:rPr>
            </w:pPr>
            <w:r w:rsidRPr="004476D6">
              <w:rPr>
                <w:b/>
                <w:bCs/>
              </w:rPr>
              <w:t xml:space="preserve">Gráfico </w:t>
            </w:r>
            <w:r w:rsidR="004476D6" w:rsidRPr="004476D6">
              <w:rPr>
                <w:b/>
                <w:bCs/>
              </w:rPr>
              <w:t>3</w:t>
            </w:r>
            <w:r>
              <w:t xml:space="preserve">. </w:t>
            </w:r>
            <w:r w:rsidRPr="004476D6">
              <w:rPr>
                <w:lang w:val="es-ES"/>
              </w:rPr>
              <w:t xml:space="preserve">Variación interanual del promedio de actividades metalúrgicas. Enero </w:t>
            </w:r>
            <w:r w:rsidR="004476D6">
              <w:rPr>
                <w:lang w:val="es-ES"/>
              </w:rPr>
              <w:t>2</w:t>
            </w:r>
            <w:r w:rsidRPr="004476D6">
              <w:rPr>
                <w:lang w:val="es-ES"/>
              </w:rPr>
              <w:t>018</w:t>
            </w:r>
            <w:r w:rsidR="004476D6">
              <w:rPr>
                <w:lang w:val="es-ES"/>
              </w:rPr>
              <w:t xml:space="preserve"> a </w:t>
            </w:r>
            <w:r w:rsidR="00B87E4F">
              <w:rPr>
                <w:lang w:val="es-ES"/>
              </w:rPr>
              <w:t>junio</w:t>
            </w:r>
            <w:r w:rsidR="001D1451">
              <w:rPr>
                <w:lang w:val="es-ES"/>
              </w:rPr>
              <w:t xml:space="preserve"> 2021</w:t>
            </w:r>
          </w:p>
        </w:tc>
      </w:tr>
      <w:tr w:rsidR="001A523B" w14:paraId="143E9E27" w14:textId="77777777" w:rsidTr="00F742EA">
        <w:tblPrEx>
          <w:tblCellMar>
            <w:left w:w="70" w:type="dxa"/>
            <w:right w:w="70" w:type="dxa"/>
          </w:tblCellMar>
        </w:tblPrEx>
        <w:tc>
          <w:tcPr>
            <w:tcW w:w="5000" w:type="pct"/>
          </w:tcPr>
          <w:p w14:paraId="6AE2A772" w14:textId="040AF90A" w:rsidR="001A523B" w:rsidRDefault="00F742EA" w:rsidP="007D0099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3400A88F" wp14:editId="795C670C">
                  <wp:extent cx="6381750" cy="2743200"/>
                  <wp:effectExtent l="0" t="0" r="0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A523B" w14:paraId="34AD0918" w14:textId="77777777" w:rsidTr="002B2668">
        <w:tc>
          <w:tcPr>
            <w:tcW w:w="5000" w:type="pct"/>
          </w:tcPr>
          <w:p w14:paraId="4145FAA3" w14:textId="2664320C" w:rsidR="001A523B" w:rsidRDefault="004476D6" w:rsidP="007D0099">
            <w:pPr>
              <w:pStyle w:val="Prrafodelista"/>
              <w:ind w:left="0"/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ADIMRA</w:t>
            </w:r>
          </w:p>
        </w:tc>
      </w:tr>
    </w:tbl>
    <w:p w14:paraId="74030304" w14:textId="14D5212A" w:rsidR="007D0099" w:rsidRDefault="007D0099" w:rsidP="007D0099">
      <w:pPr>
        <w:pStyle w:val="Prrafodelista"/>
        <w:ind w:left="0"/>
      </w:pPr>
    </w:p>
    <w:p w14:paraId="4F6604B9" w14:textId="77777777" w:rsidR="002B2668" w:rsidRDefault="002B2668" w:rsidP="007D0099">
      <w:pPr>
        <w:pStyle w:val="Prrafodelista"/>
        <w:ind w:left="0"/>
      </w:pPr>
    </w:p>
    <w:p w14:paraId="7FBD1639" w14:textId="77777777" w:rsidR="00CE091A" w:rsidRDefault="007D0099" w:rsidP="007D0099">
      <w:pPr>
        <w:pStyle w:val="Ttulo1"/>
        <w:numPr>
          <w:ilvl w:val="0"/>
          <w:numId w:val="2"/>
        </w:numPr>
      </w:pPr>
      <w:r>
        <w:t>Saldo comercial</w:t>
      </w:r>
    </w:p>
    <w:p w14:paraId="275F1EB7" w14:textId="77777777" w:rsidR="00020F11" w:rsidRDefault="00020F11" w:rsidP="00CB649A">
      <w:pPr>
        <w:pStyle w:val="Prrafodelista"/>
        <w:ind w:left="0"/>
        <w:jc w:val="both"/>
        <w:rPr>
          <w:sz w:val="24"/>
        </w:rPr>
      </w:pPr>
      <w:r w:rsidRPr="00020F11">
        <w:rPr>
          <w:b/>
          <w:sz w:val="24"/>
        </w:rPr>
        <w:t>Hasta 2020.I la fuente de información para esta sección fue ADIMRA. A partir de entonces se decidió cambiar la fuente a INDEC por irregularidad en la publicación de los datos de ADIMRA.</w:t>
      </w:r>
      <w:r>
        <w:rPr>
          <w:sz w:val="24"/>
        </w:rPr>
        <w:t xml:space="preserve"> </w:t>
      </w:r>
    </w:p>
    <w:p w14:paraId="6ECEFBAC" w14:textId="77777777" w:rsidR="00B43A87" w:rsidRDefault="00B43A87" w:rsidP="00CB649A">
      <w:pPr>
        <w:pStyle w:val="Prrafodelista"/>
        <w:ind w:left="0"/>
        <w:jc w:val="both"/>
        <w:rPr>
          <w:sz w:val="24"/>
        </w:rPr>
      </w:pPr>
    </w:p>
    <w:p w14:paraId="702DE741" w14:textId="7E56DCC0" w:rsidR="00CE091A" w:rsidRPr="00CB649A" w:rsidRDefault="00020F11" w:rsidP="00020F11">
      <w:pPr>
        <w:pStyle w:val="Prrafodelista"/>
        <w:ind w:left="0"/>
        <w:jc w:val="both"/>
        <w:rPr>
          <w:sz w:val="24"/>
        </w:rPr>
      </w:pPr>
      <w:r>
        <w:rPr>
          <w:sz w:val="24"/>
        </w:rPr>
        <w:t xml:space="preserve">Las exportaciones </w:t>
      </w:r>
      <w:r w:rsidR="00B43A87">
        <w:rPr>
          <w:sz w:val="24"/>
        </w:rPr>
        <w:t xml:space="preserve">alcanzan el máximo histórico de la serie, totalizando 1.9 mil millones de dólares en el segundo trimestre de 2021. Más allá de esto, las importaciones siguieron subiendo, y también se acercaron a su máximo histórico. </w:t>
      </w:r>
      <w:r w:rsidR="006A4CEF">
        <w:rPr>
          <w:sz w:val="24"/>
        </w:rPr>
        <w:t>La conjunción de ambos factores ha llevado a que el déficit comercial del sector aumente un 67% en relación al mismo trimestre del año anterior. El saldo ha empeorado de forma consecutiva desde 2020.T1</w:t>
      </w:r>
    </w:p>
    <w:p w14:paraId="2C0D8BF8" w14:textId="769C0108" w:rsidR="00CE091A" w:rsidRDefault="00CE091A" w:rsidP="00CE091A">
      <w:pPr>
        <w:pStyle w:val="Prrafodelista"/>
        <w:ind w:left="0"/>
        <w:rPr>
          <w:sz w:val="24"/>
        </w:rPr>
      </w:pPr>
    </w:p>
    <w:p w14:paraId="7412F881" w14:textId="77777777" w:rsidR="001D1451" w:rsidRDefault="001D1451" w:rsidP="00CE091A">
      <w:pPr>
        <w:pStyle w:val="Prrafodelista"/>
        <w:ind w:left="0"/>
        <w:rPr>
          <w:sz w:val="24"/>
        </w:rPr>
      </w:pPr>
    </w:p>
    <w:p w14:paraId="1A4F1813" w14:textId="77777777" w:rsidR="00B43A87" w:rsidRDefault="00B43A87" w:rsidP="00CE091A">
      <w:pPr>
        <w:pStyle w:val="Prrafodelista"/>
        <w:ind w:left="0"/>
        <w:rPr>
          <w:sz w:val="24"/>
        </w:rPr>
      </w:pPr>
    </w:p>
    <w:p w14:paraId="59E07B5A" w14:textId="13E917D2" w:rsidR="002B2668" w:rsidRDefault="002B2668" w:rsidP="00CE091A">
      <w:pPr>
        <w:pStyle w:val="Prrafodelista"/>
        <w:ind w:left="0"/>
        <w:rPr>
          <w:sz w:val="24"/>
        </w:rPr>
      </w:pPr>
    </w:p>
    <w:p w14:paraId="70438AE2" w14:textId="6A33F7C3" w:rsidR="002B2668" w:rsidRDefault="002B2668" w:rsidP="00CE091A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76958" w14:paraId="4FAE782D" w14:textId="77777777" w:rsidTr="002B2668">
        <w:tc>
          <w:tcPr>
            <w:tcW w:w="10055" w:type="dxa"/>
          </w:tcPr>
          <w:p w14:paraId="3A865D1A" w14:textId="4E08E3C6" w:rsidR="00B76958" w:rsidRDefault="00B76958" w:rsidP="00CE091A">
            <w:pPr>
              <w:pStyle w:val="Prrafodelista"/>
              <w:ind w:left="0"/>
              <w:rPr>
                <w:sz w:val="24"/>
              </w:rPr>
            </w:pPr>
            <w:r w:rsidRPr="00B76958">
              <w:rPr>
                <w:b/>
                <w:bCs/>
                <w:sz w:val="24"/>
              </w:rPr>
              <w:t>Tabla 2.</w:t>
            </w:r>
            <w:r>
              <w:rPr>
                <w:sz w:val="24"/>
              </w:rPr>
              <w:t xml:space="preserve"> Evolución del saldo comercial del sector metalúrgico. Variaciones </w:t>
            </w:r>
          </w:p>
        </w:tc>
      </w:tr>
      <w:tr w:rsidR="00B76958" w14:paraId="3ECF84B3" w14:textId="77777777" w:rsidTr="002B2668">
        <w:tc>
          <w:tcPr>
            <w:tcW w:w="10055" w:type="dxa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58"/>
              <w:gridCol w:w="2457"/>
              <w:gridCol w:w="2457"/>
              <w:gridCol w:w="2457"/>
            </w:tblGrid>
            <w:tr w:rsidR="00B43A87" w:rsidRPr="00B43A87" w14:paraId="663F8FE0" w14:textId="77777777" w:rsidTr="00B43A87">
              <w:trPr>
                <w:trHeight w:val="300"/>
              </w:trPr>
              <w:tc>
                <w:tcPr>
                  <w:tcW w:w="1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A50021"/>
                  <w:noWrap/>
                  <w:vAlign w:val="bottom"/>
                  <w:hideMark/>
                </w:tcPr>
                <w:p w14:paraId="2801FAD0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  <w:t> 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A50021"/>
                  <w:noWrap/>
                  <w:vAlign w:val="bottom"/>
                  <w:hideMark/>
                </w:tcPr>
                <w:p w14:paraId="6EFFCBEF" w14:textId="77777777" w:rsidR="00B43A87" w:rsidRPr="00B43A87" w:rsidRDefault="00B43A87" w:rsidP="00B4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  <w:t>Variación</w:t>
                  </w:r>
                </w:p>
              </w:tc>
            </w:tr>
            <w:tr w:rsidR="00B43A87" w:rsidRPr="00B43A87" w14:paraId="558FC131" w14:textId="77777777" w:rsidTr="00B43A87">
              <w:trPr>
                <w:trHeight w:val="1200"/>
              </w:trPr>
              <w:tc>
                <w:tcPr>
                  <w:tcW w:w="1250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A50021"/>
                  <w:noWrap/>
                  <w:vAlign w:val="bottom"/>
                  <w:hideMark/>
                </w:tcPr>
                <w:p w14:paraId="2F7F6E8D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  <w:t>Concepto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A50021"/>
                  <w:vAlign w:val="bottom"/>
                  <w:hideMark/>
                </w:tcPr>
                <w:p w14:paraId="46C0D976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  <w:t xml:space="preserve"> vs Trimestre anterior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A50021"/>
                  <w:vAlign w:val="bottom"/>
                  <w:hideMark/>
                </w:tcPr>
                <w:p w14:paraId="6F634D38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  <w:t xml:space="preserve"> vs mismo Trimestre Año anterior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A50021"/>
                  <w:vAlign w:val="bottom"/>
                  <w:hideMark/>
                </w:tcPr>
                <w:p w14:paraId="4F9656E0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 w:eastAsia="es-AR"/>
                    </w:rPr>
                    <w:t>Vs acumulado anual</w:t>
                  </w:r>
                </w:p>
              </w:tc>
            </w:tr>
            <w:tr w:rsidR="00B43A87" w:rsidRPr="00B43A87" w14:paraId="0DD5A2FD" w14:textId="77777777" w:rsidTr="00B43A87">
              <w:trPr>
                <w:trHeight w:val="300"/>
              </w:trPr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F34B46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Expos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9B6112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22,1%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7C28F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129,7%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1FCBAD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56,5%</w:t>
                  </w:r>
                </w:p>
              </w:tc>
            </w:tr>
            <w:tr w:rsidR="00B43A87" w:rsidRPr="00B43A87" w14:paraId="294AB7F9" w14:textId="77777777" w:rsidTr="00B43A87">
              <w:trPr>
                <w:trHeight w:val="300"/>
              </w:trPr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DA7031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Impos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0EEF0D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6,7%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F5AB1A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80,4%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B1D526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59,7%</w:t>
                  </w:r>
                </w:p>
              </w:tc>
            </w:tr>
            <w:tr w:rsidR="00B43A87" w:rsidRPr="00B43A87" w14:paraId="09D67A89" w14:textId="77777777" w:rsidTr="00B43A87">
              <w:trPr>
                <w:trHeight w:val="300"/>
              </w:trPr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808288" w14:textId="77777777" w:rsidR="00B43A87" w:rsidRPr="00B43A87" w:rsidRDefault="00B43A87" w:rsidP="00B43A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Saldo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1C624B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-1,9%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F38447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-67,0%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267801" w14:textId="77777777" w:rsidR="00B43A87" w:rsidRPr="00B43A87" w:rsidRDefault="00B43A87" w:rsidP="00B43A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</w:pPr>
                  <w:r w:rsidRPr="00B43A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AR" w:eastAsia="es-AR"/>
                    </w:rPr>
                    <w:t>-60,8%</w:t>
                  </w:r>
                </w:p>
              </w:tc>
            </w:tr>
          </w:tbl>
          <w:p w14:paraId="734525FE" w14:textId="1EE3196F" w:rsidR="00B76958" w:rsidRDefault="00B76958" w:rsidP="005159C2">
            <w:pPr>
              <w:pStyle w:val="Prrafodelista"/>
              <w:ind w:left="0"/>
              <w:rPr>
                <w:sz w:val="24"/>
              </w:rPr>
            </w:pPr>
          </w:p>
        </w:tc>
      </w:tr>
      <w:tr w:rsidR="00B76958" w14:paraId="5B37D0B4" w14:textId="77777777" w:rsidTr="002B2668">
        <w:tc>
          <w:tcPr>
            <w:tcW w:w="10055" w:type="dxa"/>
          </w:tcPr>
          <w:p w14:paraId="3A229195" w14:textId="5A96D943" w:rsidR="00B76958" w:rsidRDefault="00B76958" w:rsidP="00CE091A">
            <w:pPr>
              <w:pStyle w:val="Prrafodelista"/>
              <w:ind w:left="0"/>
              <w:rPr>
                <w:sz w:val="24"/>
              </w:rPr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</w:t>
            </w:r>
            <w:r w:rsidR="002B2E02">
              <w:rPr>
                <w:sz w:val="24"/>
              </w:rPr>
              <w:t>INDEC</w:t>
            </w:r>
          </w:p>
        </w:tc>
      </w:tr>
    </w:tbl>
    <w:p w14:paraId="333FE5CF" w14:textId="77777777" w:rsidR="00CE091A" w:rsidRDefault="00CE091A" w:rsidP="00CE091A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B76958" w14:paraId="08418DDD" w14:textId="77777777" w:rsidTr="002B2668">
        <w:tc>
          <w:tcPr>
            <w:tcW w:w="10055" w:type="dxa"/>
          </w:tcPr>
          <w:p w14:paraId="2A25D3F8" w14:textId="7B90A4FF" w:rsidR="00B76958" w:rsidRDefault="00B76958" w:rsidP="00B76958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bCs/>
                <w:sz w:val="24"/>
              </w:rPr>
              <w:t>Gráfico</w:t>
            </w:r>
            <w:r w:rsidRPr="00B7695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4</w:t>
            </w:r>
            <w:r w:rsidRPr="00B76958"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 xml:space="preserve"> Evolución del saldo comercial del sect</w:t>
            </w:r>
            <w:r w:rsidR="00DE33A8">
              <w:rPr>
                <w:sz w:val="24"/>
              </w:rPr>
              <w:t>o</w:t>
            </w:r>
            <w:r w:rsidR="00B43A87">
              <w:rPr>
                <w:sz w:val="24"/>
              </w:rPr>
              <w:t>r metalúrgico. 2016.T1 a 2021.T2</w:t>
            </w:r>
          </w:p>
        </w:tc>
      </w:tr>
      <w:tr w:rsidR="00B76958" w14:paraId="5D2EB7F3" w14:textId="77777777" w:rsidTr="00BD5B25">
        <w:tblPrEx>
          <w:tblCellMar>
            <w:left w:w="70" w:type="dxa"/>
            <w:right w:w="70" w:type="dxa"/>
          </w:tblCellMar>
        </w:tblPrEx>
        <w:tc>
          <w:tcPr>
            <w:tcW w:w="10055" w:type="dxa"/>
          </w:tcPr>
          <w:p w14:paraId="55EC16AC" w14:textId="2939B174" w:rsidR="00B76958" w:rsidRDefault="006A4CEF" w:rsidP="00B76958">
            <w:pPr>
              <w:pStyle w:val="Prrafodelista"/>
              <w:ind w:left="0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w:drawing>
                <wp:inline distT="0" distB="0" distL="0" distR="0" wp14:anchorId="14230F38" wp14:editId="5A4AEF79">
                  <wp:extent cx="6255385" cy="2454113"/>
                  <wp:effectExtent l="0" t="0" r="0" b="381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911" cy="246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958" w14:paraId="7B5099A5" w14:textId="77777777" w:rsidTr="002B2668">
        <w:tc>
          <w:tcPr>
            <w:tcW w:w="10055" w:type="dxa"/>
          </w:tcPr>
          <w:p w14:paraId="6453BB98" w14:textId="659A42EF" w:rsidR="00B76958" w:rsidRDefault="00B76958" w:rsidP="00B76958">
            <w:pPr>
              <w:pStyle w:val="Prrafodelista"/>
              <w:ind w:left="0"/>
              <w:rPr>
                <w:sz w:val="24"/>
              </w:rPr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</w:t>
            </w:r>
            <w:r w:rsidR="002B2E02">
              <w:rPr>
                <w:sz w:val="24"/>
              </w:rPr>
              <w:t>INDEC</w:t>
            </w:r>
          </w:p>
        </w:tc>
      </w:tr>
    </w:tbl>
    <w:p w14:paraId="35600566" w14:textId="2D5C1401" w:rsidR="00CE091A" w:rsidRDefault="00CE091A" w:rsidP="00CE091A">
      <w:pPr>
        <w:pStyle w:val="Prrafodelista"/>
        <w:ind w:left="0"/>
        <w:rPr>
          <w:sz w:val="24"/>
        </w:rPr>
      </w:pPr>
    </w:p>
    <w:p w14:paraId="76EC2349" w14:textId="77777777" w:rsidR="00CE091A" w:rsidRDefault="00CB649A" w:rsidP="00CB649A">
      <w:pPr>
        <w:pStyle w:val="Ttulo1"/>
        <w:numPr>
          <w:ilvl w:val="0"/>
          <w:numId w:val="2"/>
        </w:numPr>
      </w:pPr>
      <w:r>
        <w:t xml:space="preserve">Empleo </w:t>
      </w:r>
    </w:p>
    <w:p w14:paraId="66D5BF43" w14:textId="740F73DC" w:rsidR="00292380" w:rsidRDefault="00794552" w:rsidP="00CB649A">
      <w:pPr>
        <w:jc w:val="both"/>
        <w:rPr>
          <w:sz w:val="24"/>
        </w:rPr>
      </w:pPr>
      <w:r>
        <w:rPr>
          <w:sz w:val="24"/>
        </w:rPr>
        <w:t>El sector en general</w:t>
      </w:r>
      <w:r w:rsidR="00182715">
        <w:rPr>
          <w:sz w:val="24"/>
        </w:rPr>
        <w:t xml:space="preserve"> recupera un 1% del empleo entre 2020.T4 y 2021.T1. </w:t>
      </w:r>
      <w:r>
        <w:rPr>
          <w:sz w:val="24"/>
        </w:rPr>
        <w:t>El rub</w:t>
      </w:r>
      <w:r w:rsidR="000722F3">
        <w:rPr>
          <w:sz w:val="24"/>
        </w:rPr>
        <w:t>ro</w:t>
      </w:r>
      <w:r>
        <w:rPr>
          <w:sz w:val="24"/>
        </w:rPr>
        <w:t xml:space="preserve"> de mejor desempeño inter trimestral </w:t>
      </w:r>
      <w:r w:rsidR="00182715">
        <w:rPr>
          <w:sz w:val="24"/>
        </w:rPr>
        <w:t>sigue siendo</w:t>
      </w:r>
      <w:r>
        <w:rPr>
          <w:sz w:val="24"/>
        </w:rPr>
        <w:t xml:space="preserve"> “</w:t>
      </w:r>
      <w:r w:rsidR="000722F3">
        <w:rPr>
          <w:sz w:val="24"/>
        </w:rPr>
        <w:t>Productos elaborados del metal</w:t>
      </w:r>
      <w:r>
        <w:rPr>
          <w:sz w:val="24"/>
        </w:rPr>
        <w:t>” con un crecimien</w:t>
      </w:r>
      <w:r w:rsidR="00182715">
        <w:rPr>
          <w:sz w:val="24"/>
        </w:rPr>
        <w:t>to en el nivel de empleo del 1,9</w:t>
      </w:r>
      <w:r>
        <w:rPr>
          <w:sz w:val="24"/>
        </w:rPr>
        <w:t xml:space="preserve">%. </w:t>
      </w:r>
      <w:r w:rsidR="00E6658F" w:rsidRPr="00E6658F">
        <w:rPr>
          <w:sz w:val="24"/>
        </w:rPr>
        <w:t>“Maquinaria y aparatos eléc</w:t>
      </w:r>
      <w:r w:rsidR="00182715">
        <w:rPr>
          <w:sz w:val="24"/>
        </w:rPr>
        <w:t>tricos” lo sigue en segundo lugar</w:t>
      </w:r>
      <w:r w:rsidRPr="00E6658F">
        <w:rPr>
          <w:sz w:val="24"/>
        </w:rPr>
        <w:t xml:space="preserve"> con un alza de </w:t>
      </w:r>
      <w:r w:rsidR="00182715">
        <w:rPr>
          <w:sz w:val="24"/>
        </w:rPr>
        <w:t>1,8</w:t>
      </w:r>
      <w:r w:rsidR="00E6658F" w:rsidRPr="00E6658F">
        <w:rPr>
          <w:sz w:val="24"/>
        </w:rPr>
        <w:t xml:space="preserve">%. </w:t>
      </w:r>
      <w:r>
        <w:rPr>
          <w:sz w:val="24"/>
        </w:rPr>
        <w:t>“</w:t>
      </w:r>
      <w:r w:rsidR="00182715">
        <w:rPr>
          <w:sz w:val="24"/>
        </w:rPr>
        <w:t>Maquinaria y equipos</w:t>
      </w:r>
      <w:r>
        <w:rPr>
          <w:sz w:val="24"/>
        </w:rPr>
        <w:t xml:space="preserve">” </w:t>
      </w:r>
      <w:r w:rsidR="00182715">
        <w:rPr>
          <w:sz w:val="24"/>
        </w:rPr>
        <w:t>es el único sector que destruyó empleo en el trimestre, con una baja del 0,2%.</w:t>
      </w:r>
    </w:p>
    <w:p w14:paraId="0FDCB6F6" w14:textId="77777777" w:rsidR="00182715" w:rsidRDefault="00182715" w:rsidP="00CB649A">
      <w:pPr>
        <w:jc w:val="both"/>
        <w:rPr>
          <w:sz w:val="24"/>
        </w:rPr>
      </w:pPr>
    </w:p>
    <w:p w14:paraId="2163AE8C" w14:textId="77777777" w:rsidR="00182715" w:rsidRDefault="00182715" w:rsidP="00CB649A">
      <w:pPr>
        <w:jc w:val="both"/>
        <w:rPr>
          <w:sz w:val="24"/>
        </w:rPr>
      </w:pPr>
    </w:p>
    <w:p w14:paraId="082BE6A9" w14:textId="77777777" w:rsidR="00182715" w:rsidRDefault="00182715" w:rsidP="00CB649A">
      <w:pPr>
        <w:jc w:val="both"/>
        <w:rPr>
          <w:sz w:val="24"/>
        </w:rPr>
      </w:pPr>
    </w:p>
    <w:p w14:paraId="612D6ED7" w14:textId="77777777" w:rsidR="000722F3" w:rsidRDefault="000722F3" w:rsidP="00CB649A">
      <w:pPr>
        <w:jc w:val="both"/>
        <w:rPr>
          <w:sz w:val="24"/>
        </w:rPr>
      </w:pPr>
    </w:p>
    <w:p w14:paraId="0BB60005" w14:textId="1E8170EC" w:rsidR="00794552" w:rsidRDefault="00794552" w:rsidP="00CB649A">
      <w:pPr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6958" w14:paraId="326AF42D" w14:textId="77777777" w:rsidTr="000550BF">
        <w:tc>
          <w:tcPr>
            <w:tcW w:w="10065" w:type="dxa"/>
          </w:tcPr>
          <w:p w14:paraId="0F650B30" w14:textId="6136B149" w:rsidR="00B76958" w:rsidRDefault="00B76958" w:rsidP="00B76958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Gráfico</w:t>
            </w:r>
            <w:r w:rsidRPr="00B7695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5</w:t>
            </w:r>
            <w:r w:rsidRPr="00B76958"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 xml:space="preserve"> Evolución de la cantidad de puestos de trabajo por sector metalúrgico. 2014.T1 a 2020.T</w:t>
            </w:r>
            <w:r w:rsidR="000722F3">
              <w:rPr>
                <w:sz w:val="24"/>
              </w:rPr>
              <w:t>4</w:t>
            </w:r>
          </w:p>
        </w:tc>
      </w:tr>
      <w:tr w:rsidR="00B76958" w14:paraId="6D4B03DF" w14:textId="77777777" w:rsidTr="000550BF">
        <w:tblPrEx>
          <w:tblCellMar>
            <w:left w:w="70" w:type="dxa"/>
            <w:right w:w="70" w:type="dxa"/>
          </w:tblCellMar>
        </w:tblPrEx>
        <w:tc>
          <w:tcPr>
            <w:tcW w:w="10065" w:type="dxa"/>
          </w:tcPr>
          <w:p w14:paraId="4C261D9E" w14:textId="0366AC97" w:rsidR="00B76958" w:rsidRDefault="006D041E" w:rsidP="00B76958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w:drawing>
                <wp:inline distT="0" distB="0" distL="0" distR="0" wp14:anchorId="4735DF5A" wp14:editId="24ED2CFA">
                  <wp:extent cx="6300084" cy="4573579"/>
                  <wp:effectExtent l="0" t="0" r="571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789" cy="4587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958" w14:paraId="4BE215E2" w14:textId="77777777" w:rsidTr="000550BF">
        <w:tc>
          <w:tcPr>
            <w:tcW w:w="10065" w:type="dxa"/>
          </w:tcPr>
          <w:p w14:paraId="71E07B2B" w14:textId="783D7842" w:rsidR="00B76958" w:rsidRDefault="00B76958" w:rsidP="00B76958">
            <w:pPr>
              <w:jc w:val="both"/>
              <w:rPr>
                <w:sz w:val="24"/>
              </w:rPr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Ministerio de Trabajo</w:t>
            </w:r>
          </w:p>
        </w:tc>
      </w:tr>
    </w:tbl>
    <w:p w14:paraId="5352B9CB" w14:textId="0671142A" w:rsidR="00B76958" w:rsidRDefault="00B76958" w:rsidP="00CB649A">
      <w:pPr>
        <w:jc w:val="both"/>
        <w:rPr>
          <w:sz w:val="24"/>
        </w:rPr>
      </w:pPr>
    </w:p>
    <w:p w14:paraId="3B1F52EB" w14:textId="3BBCDC09" w:rsidR="002B2668" w:rsidRDefault="002B2668" w:rsidP="00CB649A">
      <w:pPr>
        <w:jc w:val="both"/>
        <w:rPr>
          <w:sz w:val="24"/>
        </w:rPr>
      </w:pPr>
    </w:p>
    <w:p w14:paraId="575216DE" w14:textId="03441513" w:rsidR="002B2668" w:rsidRDefault="002B2668" w:rsidP="00CB649A">
      <w:pPr>
        <w:jc w:val="both"/>
        <w:rPr>
          <w:sz w:val="24"/>
        </w:rPr>
      </w:pPr>
    </w:p>
    <w:p w14:paraId="65E925E2" w14:textId="3C5F40D8" w:rsidR="002B2668" w:rsidRDefault="002B2668" w:rsidP="00CB649A">
      <w:pPr>
        <w:jc w:val="both"/>
        <w:rPr>
          <w:sz w:val="24"/>
        </w:rPr>
      </w:pPr>
    </w:p>
    <w:p w14:paraId="2D4784F9" w14:textId="2BC50A84" w:rsidR="002B2668" w:rsidRDefault="002B2668" w:rsidP="00CB649A">
      <w:pPr>
        <w:jc w:val="both"/>
        <w:rPr>
          <w:sz w:val="24"/>
        </w:rPr>
      </w:pPr>
    </w:p>
    <w:p w14:paraId="41313D6C" w14:textId="190E3F6A" w:rsidR="002B2668" w:rsidRDefault="002B2668" w:rsidP="00CB649A">
      <w:pPr>
        <w:jc w:val="both"/>
        <w:rPr>
          <w:sz w:val="24"/>
        </w:rPr>
      </w:pPr>
    </w:p>
    <w:p w14:paraId="52A37D8E" w14:textId="65148554" w:rsidR="002B2668" w:rsidRDefault="002B2668" w:rsidP="00CB649A">
      <w:pPr>
        <w:jc w:val="both"/>
        <w:rPr>
          <w:sz w:val="24"/>
        </w:rPr>
      </w:pPr>
    </w:p>
    <w:p w14:paraId="5F4BD210" w14:textId="7AC694E3" w:rsidR="002B2668" w:rsidRDefault="002B2668" w:rsidP="00CB649A">
      <w:pPr>
        <w:jc w:val="both"/>
        <w:rPr>
          <w:sz w:val="24"/>
        </w:rPr>
      </w:pPr>
    </w:p>
    <w:p w14:paraId="2F4AC9F1" w14:textId="77777777" w:rsidR="002B2668" w:rsidRDefault="002B2668" w:rsidP="00CB649A">
      <w:pPr>
        <w:jc w:val="both"/>
        <w:rPr>
          <w:sz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76958" w14:paraId="3F15D9F6" w14:textId="77777777" w:rsidTr="000722F3">
        <w:tc>
          <w:tcPr>
            <w:tcW w:w="5000" w:type="pct"/>
          </w:tcPr>
          <w:p w14:paraId="1999DF3D" w14:textId="4E495D6F" w:rsidR="00B76958" w:rsidRDefault="00B76958" w:rsidP="00B76958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Tabla</w:t>
            </w:r>
            <w:r w:rsidRPr="00B7695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3</w:t>
            </w:r>
            <w:r w:rsidRPr="00B76958"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 xml:space="preserve"> Evolución de la cantidad de puestos de trabajo por sector metalúrgico. Variaciones</w:t>
            </w:r>
          </w:p>
        </w:tc>
      </w:tr>
      <w:tr w:rsidR="00B76958" w14:paraId="6E8AD4D6" w14:textId="77777777" w:rsidTr="000722F3">
        <w:tc>
          <w:tcPr>
            <w:tcW w:w="5000" w:type="pct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6"/>
              <w:gridCol w:w="1458"/>
              <w:gridCol w:w="1529"/>
              <w:gridCol w:w="1739"/>
              <w:gridCol w:w="2137"/>
            </w:tblGrid>
            <w:tr w:rsidR="00182715" w:rsidRPr="00182715" w14:paraId="24100523" w14:textId="77777777" w:rsidTr="00182715">
              <w:trPr>
                <w:trHeight w:val="1050"/>
              </w:trPr>
              <w:tc>
                <w:tcPr>
                  <w:tcW w:w="15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0033"/>
                  <w:vAlign w:val="bottom"/>
                  <w:hideMark/>
                </w:tcPr>
                <w:p w14:paraId="652CDA39" w14:textId="77777777" w:rsidR="00182715" w:rsidRPr="00182715" w:rsidRDefault="00182715" w:rsidP="001827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  <w:t>Sector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0033"/>
                  <w:vAlign w:val="bottom"/>
                  <w:hideMark/>
                </w:tcPr>
                <w:p w14:paraId="04BC9B0C" w14:textId="77777777" w:rsidR="00182715" w:rsidRPr="00182715" w:rsidRDefault="00182715" w:rsidP="001827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  <w:t>2021.I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0033"/>
                  <w:vAlign w:val="bottom"/>
                  <w:hideMark/>
                </w:tcPr>
                <w:p w14:paraId="5294C2C5" w14:textId="77777777" w:rsidR="00182715" w:rsidRPr="00182715" w:rsidRDefault="00182715" w:rsidP="001827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  <w:t>2021.I vs 2020.IV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0033"/>
                  <w:vAlign w:val="bottom"/>
                  <w:hideMark/>
                </w:tcPr>
                <w:p w14:paraId="3000EE3D" w14:textId="77777777" w:rsidR="00182715" w:rsidRPr="00182715" w:rsidRDefault="00182715" w:rsidP="001827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  <w:t>2021.I vs 2020.I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0033"/>
                  <w:vAlign w:val="bottom"/>
                  <w:hideMark/>
                </w:tcPr>
                <w:p w14:paraId="2EC05880" w14:textId="77777777" w:rsidR="00182715" w:rsidRPr="00182715" w:rsidRDefault="00182715" w:rsidP="001827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8"/>
                      <w:szCs w:val="28"/>
                      <w:lang w:val="es-AR" w:eastAsia="es-AR"/>
                    </w:rPr>
                    <w:t>2021 vs 2020 acumulado</w:t>
                  </w:r>
                </w:p>
              </w:tc>
            </w:tr>
            <w:tr w:rsidR="00182715" w:rsidRPr="00182715" w14:paraId="780CCAA0" w14:textId="77777777" w:rsidTr="00182715">
              <w:trPr>
                <w:trHeight w:val="1125"/>
              </w:trPr>
              <w:tc>
                <w:tcPr>
                  <w:tcW w:w="151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5A1D301" w14:textId="77777777" w:rsidR="00182715" w:rsidRPr="00182715" w:rsidRDefault="00182715" w:rsidP="001827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Productos elaborados del metal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C28852E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86.070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8A4247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1,9%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1D6E58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8"/>
                      <w:szCs w:val="28"/>
                      <w:lang w:val="es-AR" w:eastAsia="es-AR"/>
                    </w:rPr>
                    <w:t>-0,2%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C1EE38F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8"/>
                      <w:szCs w:val="28"/>
                      <w:lang w:val="es-AR" w:eastAsia="es-AR"/>
                    </w:rPr>
                    <w:t>-0,2%</w:t>
                  </w:r>
                </w:p>
              </w:tc>
            </w:tr>
            <w:tr w:rsidR="00182715" w:rsidRPr="00182715" w14:paraId="1CDD7CCE" w14:textId="77777777" w:rsidTr="00182715">
              <w:trPr>
                <w:trHeight w:val="750"/>
              </w:trPr>
              <w:tc>
                <w:tcPr>
                  <w:tcW w:w="151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DC648B3" w14:textId="77777777" w:rsidR="00182715" w:rsidRPr="00182715" w:rsidRDefault="00182715" w:rsidP="001827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Maquinaria y equipos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ADFB625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67.371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5B8F58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8"/>
                      <w:szCs w:val="28"/>
                      <w:lang w:val="es-AR" w:eastAsia="es-AR"/>
                    </w:rPr>
                    <w:t>-0,2%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A96FE01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1,8%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D9B60CE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1,8%</w:t>
                  </w:r>
                </w:p>
              </w:tc>
            </w:tr>
            <w:tr w:rsidR="00182715" w:rsidRPr="00182715" w14:paraId="608997E2" w14:textId="77777777" w:rsidTr="00182715">
              <w:trPr>
                <w:trHeight w:val="825"/>
              </w:trPr>
              <w:tc>
                <w:tcPr>
                  <w:tcW w:w="151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09A6A0" w14:textId="77777777" w:rsidR="00182715" w:rsidRPr="00182715" w:rsidRDefault="00182715" w:rsidP="001827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Maquinaria y aparatos eléctricos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54A4662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21.310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7AD3A0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1,8%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15798A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1,6%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E489DC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1,6%</w:t>
                  </w:r>
                </w:p>
              </w:tc>
            </w:tr>
            <w:tr w:rsidR="00182715" w:rsidRPr="00182715" w14:paraId="3F8DDD7F" w14:textId="77777777" w:rsidTr="00182715">
              <w:trPr>
                <w:trHeight w:val="375"/>
              </w:trPr>
              <w:tc>
                <w:tcPr>
                  <w:tcW w:w="151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94A693" w14:textId="77777777" w:rsidR="00182715" w:rsidRPr="00182715" w:rsidRDefault="00182715" w:rsidP="0018271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es-AR" w:eastAsia="es-AR"/>
                    </w:rPr>
                    <w:t>Total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C71756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s-AR" w:eastAsia="es-AR"/>
                    </w:rPr>
                    <w:t>174.751</w:t>
                  </w:r>
                </w:p>
              </w:tc>
              <w:tc>
                <w:tcPr>
                  <w:tcW w:w="77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D73873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1,0%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19D7782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0,8%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0FE8701" w14:textId="77777777" w:rsidR="00182715" w:rsidRPr="00182715" w:rsidRDefault="00182715" w:rsidP="0018271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</w:pPr>
                  <w:r w:rsidRPr="00182715">
                    <w:rPr>
                      <w:rFonts w:ascii="Calibri" w:eastAsia="Times New Roman" w:hAnsi="Calibri" w:cs="Calibri"/>
                      <w:i/>
                      <w:iCs/>
                      <w:sz w:val="28"/>
                      <w:szCs w:val="28"/>
                      <w:lang w:val="es-AR" w:eastAsia="es-AR"/>
                    </w:rPr>
                    <w:t>0,8%</w:t>
                  </w:r>
                </w:p>
              </w:tc>
            </w:tr>
          </w:tbl>
          <w:p w14:paraId="4457920D" w14:textId="3781ACC9" w:rsidR="00B76958" w:rsidRDefault="00B76958" w:rsidP="00C3196F">
            <w:pPr>
              <w:rPr>
                <w:sz w:val="24"/>
              </w:rPr>
            </w:pPr>
          </w:p>
        </w:tc>
      </w:tr>
      <w:tr w:rsidR="00B76958" w14:paraId="1E5BD087" w14:textId="77777777" w:rsidTr="000722F3">
        <w:tc>
          <w:tcPr>
            <w:tcW w:w="5000" w:type="pct"/>
          </w:tcPr>
          <w:p w14:paraId="5F1406F5" w14:textId="596E6E30" w:rsidR="00B76958" w:rsidRDefault="00B76958" w:rsidP="00B76958">
            <w:pPr>
              <w:rPr>
                <w:sz w:val="24"/>
              </w:rPr>
            </w:pPr>
            <w:r w:rsidRPr="004476D6">
              <w:rPr>
                <w:b/>
                <w:bCs/>
                <w:sz w:val="24"/>
              </w:rPr>
              <w:t>Fuente:</w:t>
            </w:r>
            <w:r>
              <w:rPr>
                <w:sz w:val="24"/>
              </w:rPr>
              <w:t xml:space="preserve"> Elaboración propia en base a datos de Ministerio de Trabajo</w:t>
            </w:r>
          </w:p>
        </w:tc>
      </w:tr>
    </w:tbl>
    <w:p w14:paraId="55946DCA" w14:textId="48E7D063" w:rsidR="00CB649A" w:rsidRPr="00CB649A" w:rsidRDefault="00CB649A" w:rsidP="00B76958">
      <w:pPr>
        <w:rPr>
          <w:sz w:val="24"/>
        </w:rPr>
      </w:pPr>
    </w:p>
    <w:p w14:paraId="3A44D1D9" w14:textId="77777777" w:rsidR="00CB649A" w:rsidRPr="00CB649A" w:rsidRDefault="00CB649A" w:rsidP="00CB649A"/>
    <w:p w14:paraId="7D334825" w14:textId="77777777" w:rsidR="00CE091A" w:rsidRDefault="00CE091A" w:rsidP="00CE091A">
      <w:pPr>
        <w:pStyle w:val="Prrafodelista"/>
        <w:ind w:left="0"/>
        <w:rPr>
          <w:sz w:val="24"/>
        </w:rPr>
      </w:pPr>
    </w:p>
    <w:p w14:paraId="3363BD3C" w14:textId="77777777" w:rsidR="00CE091A" w:rsidRDefault="00CE091A" w:rsidP="00CE091A">
      <w:pPr>
        <w:pStyle w:val="Prrafodelista"/>
        <w:ind w:left="0"/>
        <w:rPr>
          <w:sz w:val="24"/>
        </w:rPr>
      </w:pPr>
    </w:p>
    <w:p w14:paraId="145F8223" w14:textId="77777777" w:rsidR="00CE091A" w:rsidRDefault="00CE091A" w:rsidP="00CE091A">
      <w:pPr>
        <w:pStyle w:val="Prrafodelista"/>
        <w:ind w:left="0"/>
        <w:rPr>
          <w:sz w:val="24"/>
        </w:rPr>
      </w:pPr>
    </w:p>
    <w:p w14:paraId="2F103C4D" w14:textId="43DE8AD1" w:rsidR="00CE091A" w:rsidRDefault="00CE091A" w:rsidP="00CE091A">
      <w:pPr>
        <w:pStyle w:val="Prrafodelista"/>
        <w:ind w:left="0"/>
        <w:rPr>
          <w:sz w:val="24"/>
        </w:rPr>
      </w:pPr>
    </w:p>
    <w:p w14:paraId="1CE629AC" w14:textId="77777777" w:rsidR="00CB649A" w:rsidRDefault="00CB649A" w:rsidP="00CE091A">
      <w:pPr>
        <w:pStyle w:val="Prrafodelista"/>
        <w:ind w:left="0"/>
        <w:rPr>
          <w:sz w:val="24"/>
        </w:rPr>
      </w:pPr>
    </w:p>
    <w:p w14:paraId="617EBC26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5604FA09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17F90B41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48318A3D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2F9126E5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6E8DE5C5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54B4BAD0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346FAE55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3B7FB484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2D3D0A4A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19C086A9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4B0EE4A5" w14:textId="77777777" w:rsidR="00607150" w:rsidRDefault="00607150" w:rsidP="00CE091A">
      <w:pPr>
        <w:pStyle w:val="Prrafodelista"/>
        <w:ind w:left="0"/>
        <w:rPr>
          <w:sz w:val="24"/>
        </w:rPr>
      </w:pPr>
    </w:p>
    <w:p w14:paraId="09FAC9B4" w14:textId="77777777" w:rsidR="001129A8" w:rsidRDefault="001129A8" w:rsidP="00CE091A">
      <w:pPr>
        <w:pStyle w:val="Prrafodelista"/>
        <w:ind w:left="0"/>
        <w:rPr>
          <w:sz w:val="24"/>
        </w:rPr>
      </w:pPr>
    </w:p>
    <w:p w14:paraId="2DBBAD56" w14:textId="77777777" w:rsidR="001129A8" w:rsidRDefault="001129A8" w:rsidP="001129A8">
      <w:pPr>
        <w:pStyle w:val="Ttulo1"/>
      </w:pPr>
      <w:r>
        <w:t>Apartado metodológico</w:t>
      </w:r>
    </w:p>
    <w:p w14:paraId="13F585AD" w14:textId="77777777" w:rsidR="001129A8" w:rsidRDefault="001129A8" w:rsidP="001129A8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Evolución del nivel de actividad, fuente INDEC</w:t>
      </w:r>
    </w:p>
    <w:p w14:paraId="4D15F19F" w14:textId="77777777" w:rsidR="001129A8" w:rsidRDefault="001129A8" w:rsidP="001129A8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Producción por rubro, fuente ADIMRA</w:t>
      </w:r>
    </w:p>
    <w:p w14:paraId="5DE34E4E" w14:textId="4CA14281" w:rsidR="001129A8" w:rsidRDefault="001129A8" w:rsidP="001129A8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Balanza comercial, fuente </w:t>
      </w:r>
      <w:r w:rsidR="00292380">
        <w:rPr>
          <w:sz w:val="24"/>
        </w:rPr>
        <w:t>INDEC</w:t>
      </w:r>
    </w:p>
    <w:p w14:paraId="743FF59A" w14:textId="77777777" w:rsidR="00B33633" w:rsidRPr="00A17F6C" w:rsidRDefault="00B33633" w:rsidP="00B33633">
      <w:pPr>
        <w:pStyle w:val="Prrafodelista"/>
        <w:numPr>
          <w:ilvl w:val="0"/>
          <w:numId w:val="4"/>
        </w:numPr>
        <w:jc w:val="both"/>
        <w:rPr>
          <w:i/>
          <w:sz w:val="24"/>
        </w:rPr>
      </w:pPr>
      <w:r w:rsidRPr="001570F0">
        <w:rPr>
          <w:sz w:val="24"/>
        </w:rPr>
        <w:t>Empleo, fuente Ministerio de Producción y Trabajo</w:t>
      </w:r>
      <w:r>
        <w:rPr>
          <w:sz w:val="24"/>
        </w:rPr>
        <w:t xml:space="preserve">. OEDE. </w:t>
      </w:r>
      <w:r w:rsidRPr="00A17F6C">
        <w:rPr>
          <w:i/>
          <w:sz w:val="24"/>
        </w:rPr>
        <w:t xml:space="preserve">Caracterización y evolución del empleo registrado, serie trimestral. </w:t>
      </w:r>
    </w:p>
    <w:p w14:paraId="54BE0B08" w14:textId="77777777" w:rsidR="00B33633" w:rsidRDefault="00B33633" w:rsidP="00B33633">
      <w:pPr>
        <w:pStyle w:val="Prrafodelista"/>
        <w:rPr>
          <w:sz w:val="24"/>
        </w:rPr>
      </w:pPr>
    </w:p>
    <w:sectPr w:rsidR="00B33633" w:rsidSect="004476D6">
      <w:headerReference w:type="default" r:id="rId13"/>
      <w:footerReference w:type="default" r:id="rId14"/>
      <w:pgSz w:w="12240" w:h="15840"/>
      <w:pgMar w:top="1417" w:right="1041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4BEEA" w14:textId="77777777" w:rsidR="0081551C" w:rsidRDefault="0081551C" w:rsidP="000E4708">
      <w:pPr>
        <w:spacing w:after="0" w:line="240" w:lineRule="auto"/>
      </w:pPr>
      <w:r>
        <w:separator/>
      </w:r>
    </w:p>
  </w:endnote>
  <w:endnote w:type="continuationSeparator" w:id="0">
    <w:p w14:paraId="19B7AAE8" w14:textId="77777777" w:rsidR="0081551C" w:rsidRDefault="0081551C" w:rsidP="000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5E65" w14:textId="77777777" w:rsidR="000E4708" w:rsidRDefault="000E470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0FA3AF" wp14:editId="34073103">
          <wp:simplePos x="0" y="0"/>
          <wp:positionH relativeFrom="margin">
            <wp:posOffset>-1889241</wp:posOffset>
          </wp:positionH>
          <wp:positionV relativeFrom="bottomMargin">
            <wp:posOffset>-100330</wp:posOffset>
          </wp:positionV>
          <wp:extent cx="8566157" cy="1047750"/>
          <wp:effectExtent l="0" t="0" r="635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 membretadas color -pie_a4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7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F74C" w14:textId="77777777" w:rsidR="0081551C" w:rsidRDefault="0081551C" w:rsidP="000E4708">
      <w:pPr>
        <w:spacing w:after="0" w:line="240" w:lineRule="auto"/>
      </w:pPr>
      <w:r>
        <w:separator/>
      </w:r>
    </w:p>
  </w:footnote>
  <w:footnote w:type="continuationSeparator" w:id="0">
    <w:p w14:paraId="4A6BC627" w14:textId="77777777" w:rsidR="0081551C" w:rsidRDefault="0081551C" w:rsidP="000E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3CDD" w14:textId="77777777" w:rsidR="009A54A9" w:rsidRDefault="009A54A9">
    <w:pPr>
      <w:pStyle w:val="Encabezado"/>
      <w:rPr>
        <w:noProof/>
        <w:lang w:eastAsia="es-MX"/>
      </w:rPr>
    </w:pPr>
  </w:p>
  <w:p w14:paraId="31B5B24B" w14:textId="77777777" w:rsidR="00591F4E" w:rsidRDefault="00591F4E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6CEEDC" wp14:editId="24142D03">
          <wp:simplePos x="0" y="0"/>
          <wp:positionH relativeFrom="margin">
            <wp:posOffset>-1490538</wp:posOffset>
          </wp:positionH>
          <wp:positionV relativeFrom="page">
            <wp:align>top</wp:align>
          </wp:positionV>
          <wp:extent cx="8544661" cy="1400810"/>
          <wp:effectExtent l="0" t="0" r="8890" b="889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 color - encabezado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6253" cy="140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5B014" w14:textId="77777777" w:rsidR="00591F4E" w:rsidRDefault="00591F4E">
    <w:pPr>
      <w:pStyle w:val="Encabezado"/>
      <w:rPr>
        <w:noProof/>
        <w:lang w:eastAsia="es-MX"/>
      </w:rPr>
    </w:pPr>
  </w:p>
  <w:p w14:paraId="7DC0B804" w14:textId="77777777" w:rsidR="00591F4E" w:rsidRDefault="00591F4E">
    <w:pPr>
      <w:pStyle w:val="Encabezado"/>
      <w:rPr>
        <w:noProof/>
        <w:lang w:eastAsia="es-MX"/>
      </w:rPr>
    </w:pPr>
  </w:p>
  <w:p w14:paraId="65607FF7" w14:textId="77777777" w:rsidR="00591F4E" w:rsidRDefault="00591F4E">
    <w:pPr>
      <w:pStyle w:val="Encabezado"/>
      <w:rPr>
        <w:noProof/>
        <w:lang w:eastAsia="es-MX"/>
      </w:rPr>
    </w:pPr>
  </w:p>
  <w:p w14:paraId="421A1327" w14:textId="77777777" w:rsidR="000E4708" w:rsidRDefault="000E47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950"/>
    <w:multiLevelType w:val="hybridMultilevel"/>
    <w:tmpl w:val="AD2E6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0C3"/>
    <w:multiLevelType w:val="hybridMultilevel"/>
    <w:tmpl w:val="AD2E6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B04"/>
    <w:multiLevelType w:val="hybridMultilevel"/>
    <w:tmpl w:val="72BE654A"/>
    <w:lvl w:ilvl="0" w:tplc="50CC1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07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4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67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8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E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02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6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C2334"/>
    <w:multiLevelType w:val="hybridMultilevel"/>
    <w:tmpl w:val="7B7E36CC"/>
    <w:lvl w:ilvl="0" w:tplc="7E1A1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4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41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E6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6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3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C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A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A2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3A35F8"/>
    <w:multiLevelType w:val="hybridMultilevel"/>
    <w:tmpl w:val="3170ED1A"/>
    <w:lvl w:ilvl="0" w:tplc="BE14A1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24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41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E6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6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3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C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A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A2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FE1F86"/>
    <w:multiLevelType w:val="hybridMultilevel"/>
    <w:tmpl w:val="05144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87A57"/>
    <w:multiLevelType w:val="hybridMultilevel"/>
    <w:tmpl w:val="67F4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7033"/>
    <w:multiLevelType w:val="hybridMultilevel"/>
    <w:tmpl w:val="54D28778"/>
    <w:lvl w:ilvl="0" w:tplc="882A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63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6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25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6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C6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2E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0F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8307E1"/>
    <w:multiLevelType w:val="hybridMultilevel"/>
    <w:tmpl w:val="06CABABA"/>
    <w:lvl w:ilvl="0" w:tplc="2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07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4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67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8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E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02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6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3537C5"/>
    <w:multiLevelType w:val="hybridMultilevel"/>
    <w:tmpl w:val="66BEF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60F7"/>
    <w:multiLevelType w:val="hybridMultilevel"/>
    <w:tmpl w:val="52561D5A"/>
    <w:lvl w:ilvl="0" w:tplc="6E4020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5C5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02F9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FC9B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8C63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4A0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F847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50DA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1671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8"/>
    <w:rsid w:val="0000214A"/>
    <w:rsid w:val="00013F20"/>
    <w:rsid w:val="00020F11"/>
    <w:rsid w:val="000550BF"/>
    <w:rsid w:val="000722F3"/>
    <w:rsid w:val="000A6AC3"/>
    <w:rsid w:val="000D7A34"/>
    <w:rsid w:val="000E4708"/>
    <w:rsid w:val="001129A8"/>
    <w:rsid w:val="00136BFB"/>
    <w:rsid w:val="0014517A"/>
    <w:rsid w:val="00182715"/>
    <w:rsid w:val="001A3C50"/>
    <w:rsid w:val="001A523B"/>
    <w:rsid w:val="001D1451"/>
    <w:rsid w:val="001D5A41"/>
    <w:rsid w:val="00211FE7"/>
    <w:rsid w:val="00292380"/>
    <w:rsid w:val="002B2668"/>
    <w:rsid w:val="002B2E02"/>
    <w:rsid w:val="002C445C"/>
    <w:rsid w:val="002D3EFA"/>
    <w:rsid w:val="00317652"/>
    <w:rsid w:val="00320784"/>
    <w:rsid w:val="003242E9"/>
    <w:rsid w:val="003532C4"/>
    <w:rsid w:val="00375389"/>
    <w:rsid w:val="003F1DD7"/>
    <w:rsid w:val="004476D6"/>
    <w:rsid w:val="00461115"/>
    <w:rsid w:val="0047585A"/>
    <w:rsid w:val="004A3658"/>
    <w:rsid w:val="004C6FD2"/>
    <w:rsid w:val="005159C2"/>
    <w:rsid w:val="00591F4E"/>
    <w:rsid w:val="005E6B47"/>
    <w:rsid w:val="00607150"/>
    <w:rsid w:val="00614F6F"/>
    <w:rsid w:val="006601E2"/>
    <w:rsid w:val="006A4CEF"/>
    <w:rsid w:val="006D041E"/>
    <w:rsid w:val="00722F6A"/>
    <w:rsid w:val="00776016"/>
    <w:rsid w:val="00781A4E"/>
    <w:rsid w:val="00783DCB"/>
    <w:rsid w:val="00793FF0"/>
    <w:rsid w:val="00794552"/>
    <w:rsid w:val="007D0099"/>
    <w:rsid w:val="007D03CC"/>
    <w:rsid w:val="007F0A07"/>
    <w:rsid w:val="0081551C"/>
    <w:rsid w:val="0082177F"/>
    <w:rsid w:val="008229DF"/>
    <w:rsid w:val="00830D3D"/>
    <w:rsid w:val="00853348"/>
    <w:rsid w:val="00890A6C"/>
    <w:rsid w:val="00896FF6"/>
    <w:rsid w:val="008B0075"/>
    <w:rsid w:val="008D4FF4"/>
    <w:rsid w:val="008F2F16"/>
    <w:rsid w:val="009A54A9"/>
    <w:rsid w:val="009A6DE3"/>
    <w:rsid w:val="009B2B9A"/>
    <w:rsid w:val="00A04690"/>
    <w:rsid w:val="00A432EC"/>
    <w:rsid w:val="00A47B5B"/>
    <w:rsid w:val="00AA5E62"/>
    <w:rsid w:val="00AC7B35"/>
    <w:rsid w:val="00AE2839"/>
    <w:rsid w:val="00B14208"/>
    <w:rsid w:val="00B33633"/>
    <w:rsid w:val="00B37D72"/>
    <w:rsid w:val="00B43A87"/>
    <w:rsid w:val="00B76958"/>
    <w:rsid w:val="00B76BD2"/>
    <w:rsid w:val="00B87E4F"/>
    <w:rsid w:val="00BC61FC"/>
    <w:rsid w:val="00BD4E06"/>
    <w:rsid w:val="00BD5B25"/>
    <w:rsid w:val="00C3196F"/>
    <w:rsid w:val="00C43338"/>
    <w:rsid w:val="00C7509F"/>
    <w:rsid w:val="00C77B46"/>
    <w:rsid w:val="00C86AE0"/>
    <w:rsid w:val="00CB649A"/>
    <w:rsid w:val="00CD194C"/>
    <w:rsid w:val="00CE091A"/>
    <w:rsid w:val="00CE1607"/>
    <w:rsid w:val="00D30CDD"/>
    <w:rsid w:val="00D442EA"/>
    <w:rsid w:val="00D51E3C"/>
    <w:rsid w:val="00D569C7"/>
    <w:rsid w:val="00D61FCA"/>
    <w:rsid w:val="00DD64F1"/>
    <w:rsid w:val="00DE33A8"/>
    <w:rsid w:val="00E51384"/>
    <w:rsid w:val="00E6658F"/>
    <w:rsid w:val="00E8126A"/>
    <w:rsid w:val="00E95ADD"/>
    <w:rsid w:val="00EC382A"/>
    <w:rsid w:val="00ED46F9"/>
    <w:rsid w:val="00F01E5C"/>
    <w:rsid w:val="00F716D8"/>
    <w:rsid w:val="00F73E61"/>
    <w:rsid w:val="00F742EA"/>
    <w:rsid w:val="00FC56F9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317DC"/>
  <w15:chartTrackingRefBased/>
  <w15:docId w15:val="{142E0EE6-1E3E-4D61-8AD6-82A6CF4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9F"/>
  </w:style>
  <w:style w:type="paragraph" w:styleId="Ttulo1">
    <w:name w:val="heading 1"/>
    <w:basedOn w:val="Normal"/>
    <w:next w:val="Normal"/>
    <w:link w:val="Ttulo1Car"/>
    <w:uiPriority w:val="9"/>
    <w:qFormat/>
    <w:rsid w:val="00CE0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708"/>
  </w:style>
  <w:style w:type="paragraph" w:styleId="Piedepgina">
    <w:name w:val="footer"/>
    <w:basedOn w:val="Normal"/>
    <w:link w:val="PiedepginaCar"/>
    <w:uiPriority w:val="99"/>
    <w:unhideWhenUsed/>
    <w:rsid w:val="000E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708"/>
  </w:style>
  <w:style w:type="paragraph" w:styleId="Prrafodelista">
    <w:name w:val="List Paragraph"/>
    <w:basedOn w:val="Normal"/>
    <w:uiPriority w:val="34"/>
    <w:qFormat/>
    <w:rsid w:val="00CE091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0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A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CE16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6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6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6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6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5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andro\Desktop\LANUS\Damian%202020%20Usar%20hasta%20nuevo%20aviso\Metalmecanica\2%20ADIMR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5"/>
              <c:layout>
                <c:manualLayout>
                  <c:x val="-6.3888888888888995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general!$A$2:$A$43</c:f>
              <c:numCache>
                <c:formatCode>mm/yy;@</c:formatCode>
                <c:ptCount val="30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</c:numCache>
            </c:numRef>
          </c:cat>
          <c:val>
            <c:numRef>
              <c:f>general!$B$2:$B$43</c:f>
              <c:numCache>
                <c:formatCode>0.0%</c:formatCode>
                <c:ptCount val="30"/>
                <c:pt idx="0">
                  <c:v>-8.3000000000000004E-2</c:v>
                </c:pt>
                <c:pt idx="1">
                  <c:v>-7.0999999999999994E-2</c:v>
                </c:pt>
                <c:pt idx="2">
                  <c:v>-8.4000000000000005E-2</c:v>
                </c:pt>
                <c:pt idx="3">
                  <c:v>-0.06</c:v>
                </c:pt>
                <c:pt idx="4">
                  <c:v>-7.1999999999999995E-2</c:v>
                </c:pt>
                <c:pt idx="5">
                  <c:v>-7.0999999999999994E-2</c:v>
                </c:pt>
                <c:pt idx="6">
                  <c:v>-7.9000000000000001E-2</c:v>
                </c:pt>
                <c:pt idx="7">
                  <c:v>-8.4000000000000005E-2</c:v>
                </c:pt>
                <c:pt idx="8">
                  <c:v>-8.2000000000000003E-2</c:v>
                </c:pt>
                <c:pt idx="9">
                  <c:v>-8.3000000000000004E-2</c:v>
                </c:pt>
                <c:pt idx="10">
                  <c:v>-7.0999999999999994E-2</c:v>
                </c:pt>
                <c:pt idx="11">
                  <c:v>-6.0999999999999999E-2</c:v>
                </c:pt>
                <c:pt idx="12">
                  <c:v>-5.8000000000000003E-2</c:v>
                </c:pt>
                <c:pt idx="13">
                  <c:v>-0.06</c:v>
                </c:pt>
                <c:pt idx="14">
                  <c:v>-0.22500000000000001</c:v>
                </c:pt>
                <c:pt idx="15">
                  <c:v>-0.38700000000000001</c:v>
                </c:pt>
                <c:pt idx="16">
                  <c:v>-0.32800000000000001</c:v>
                </c:pt>
                <c:pt idx="17">
                  <c:v>-0.17399999999999999</c:v>
                </c:pt>
                <c:pt idx="18">
                  <c:v>-5.1999999999999998E-2</c:v>
                </c:pt>
                <c:pt idx="19">
                  <c:v>-2.1000000000000001E-2</c:v>
                </c:pt>
                <c:pt idx="20">
                  <c:v>5.0000000000000001E-3</c:v>
                </c:pt>
                <c:pt idx="21">
                  <c:v>1.2E-2</c:v>
                </c:pt>
                <c:pt idx="22">
                  <c:v>2.5999999999999999E-2</c:v>
                </c:pt>
                <c:pt idx="23">
                  <c:v>3.1E-2</c:v>
                </c:pt>
                <c:pt idx="24">
                  <c:v>4.7E-2</c:v>
                </c:pt>
                <c:pt idx="25">
                  <c:v>3.5000000000000003E-2</c:v>
                </c:pt>
                <c:pt idx="26">
                  <c:v>0.249</c:v>
                </c:pt>
                <c:pt idx="27">
                  <c:v>0.51800000000000002</c:v>
                </c:pt>
                <c:pt idx="28">
                  <c:v>0.44800000000000001</c:v>
                </c:pt>
                <c:pt idx="29">
                  <c:v>0.25900000000000001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03071440"/>
        <c:axId val="-1803069808"/>
      </c:lineChart>
      <c:dateAx>
        <c:axId val="-1803071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m/yy;@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03069808"/>
        <c:crosses val="autoZero"/>
        <c:auto val="1"/>
        <c:lblOffset val="100"/>
        <c:baseTimeUnit val="months"/>
        <c:majorUnit val="1"/>
        <c:majorTimeUnit val="months"/>
      </c:dateAx>
      <c:valAx>
        <c:axId val="-180306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0307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Noain</dc:creator>
  <cp:keywords/>
  <dc:description/>
  <cp:lastModifiedBy>Juan Jose Castro</cp:lastModifiedBy>
  <cp:revision>2</cp:revision>
  <dcterms:created xsi:type="dcterms:W3CDTF">2021-11-17T17:28:00Z</dcterms:created>
  <dcterms:modified xsi:type="dcterms:W3CDTF">2021-11-17T17:28:00Z</dcterms:modified>
</cp:coreProperties>
</file>